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OSS</w:t>
      </w:r>
      <w:r>
        <w:rPr>
          <w:rFonts w:ascii="Calibri" w:hAnsi="Calibri"/>
          <w:b/>
          <w:color w:val="1A2010"/>
          <w:sz w:val="40"/>
        </w:rPr>
        <w:t xml:space="preserve">  One Stop Systems, Inc.</w:t>
      </w:r>
    </w:p>
    <w:p>
      <w:pPr>
        <w:spacing w:after="120"/>
      </w:pPr>
      <w:r>
        <w:rPr>
          <w:rFonts w:ascii="Calibri" w:hAnsi="Calibri"/>
          <w:b/>
          <w:color w:val="6E8450"/>
          <w:sz w:val="18"/>
        </w:rPr>
        <w:t>GROWTH SLEEVE · 2026-04-15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NASDAQ · United States</w:t>
      </w:r>
    </w:p>
    <w:p>
      <w:pPr>
        <w:spacing w:after="80"/>
      </w:pPr>
      <w:r>
        <w:rPr>
          <w:rFonts w:ascii="Calibri" w:hAnsi="Calibri"/>
          <w:b w:val="0"/>
          <w:color w:val="3A4A28"/>
          <w:sz w:val="20"/>
        </w:rPr>
        <w:t>One Stop Systems designs and manufactures rugged enterprise-class compute, storage, and interconnect platforms for AI, ML, sensor processing, and autonomy at the edge — with a deep footprint in U.S. defense programs (P-8 Poseidon, Army combat vehicles) and commercial robotics. CEO Mike Knowles (since June 2023) has refocused the company on AI/ML and rugged edge after divesting the Bressner commercial business.</w:t>
      </w:r>
    </w:p>
    <w:p>
      <w:r>
        <w:rPr>
          <w:rFonts w:ascii="Calibri" w:hAnsi="Calibri"/>
          <w:b/>
          <w:color w:val="6E8450"/>
          <w:sz w:val="18"/>
        </w:rPr>
        <w:t>100 Employees · https://www.onestopsystems.com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Mike Knowles (June 2023) OSS divested Bressner and refocused on rugged AI edge, delivering Q4 2025 continuing-ops revenue of $12.0M (up 70.2% YoY) at a record 58.5% gross margin and FY25 continuing revenue up 31.2% to $32.2M — a meaningful pivot that opened a cleaner AI/defense revenue stream [1][2]. AI Deployment (2/2): Products directly deployed in AI/ML edge applications — a U.S. Army purchase order for an AI-enabled video concentrator for Stryker, Bradley, and Abrams vehicles, plus multi-year P-8 Poseidon and Safran Federal Systems awards [1][3]. Market Share (1/2): Meaningful niche player in rugged AI compute for defense, but not category leader versus larger defense prime suppliers. Pipeline (1/2): 2026 guidance of 20-25% revenue growth with ~40% gross margin and positive EBITDA; backlog expanding on defense awards [1][2]. R&amp;D Intensity (0/1): R&amp;D spend not above industry average for specialized defense compute.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OSS's focus on 'rugged enterprise-class compute for AI, ML, autonomy, and sensor processing at the edge' is specific and has clearly shaped strategic decisions — divesting Bressner and redirecting capital into defense AI programs [3][4]. Community Impact (1/2): Defense programs supporting U.S. national security missions (P-8 Poseidon reconnaissance, Army combat vehicles) have real community-of-interest value but no distinctive foundation or community investment program [1][3]. Employee Retention (2/2): Glassdoor culture/values rated 3.8/5 with 100% CEO approval for Steve Cooper historically and positive feedback on open-door leadership under Knowles — above average for a small-cap defense tech firm [4]. Insider Buying (0/2): No documented material net insider buying over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OSS has a clean balance sheet with D/E of only 3.2% and no debt post-Bressner divestiture, which strongly supports small-cap resilience [5][2]. Profit margin of 15.8% and 58.5% Q4 gross margin show improving unit economics, but ROE of -8.5% reflects trailing GAAP losses and forward P/E of 116.8 scores 0 on the forward-earnings test [5]. Revenue growth of 31.2% FY25 (continuing ops) is strong, with 2026 guidance of 20-25% growth sustaining the momentum [1][2]. Liquidity is fine: 1.91M avg vol x $8.76 = ~$16.8M daily value [5]. Calculated Infrastructure score = 6/10, with excellent balance sheet and growth offsetting negative ROE and extreme forward 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OSS is a small-cap in the early innings of a refocus — new CEO since 2023, divested commercial business, and redirecting capital into rugged AI edge compute with defense customers. The strategic clarity is improving but the company has not yet proven multi-cycle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'Rugged enterprise-class compute for AI at the edge' is specific and has shaped strategy under Knowles, but it reads more as a market positioning than a transformative Just Cause [3][4]. It has not been tested through crisis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culture/values rated 3.8/5 with positive feedback on open-door CEO leadership, and post-Knowles-era Board refresh has stabilized governance [4]. The small size (~100 employees) and defense-customer continuity point to high-trust execution.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OSS benchmarks against Curtiss-Wright, Mercury Systems, and larger defense primes as comparables for rugged AI compute, using those dynamics to inform product roadmap — learning-oriented framing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Divesting Bressner and redirecting the company entirely to rugged AI edge is a meaningful adaptation — not yet transformative at the NVDA/Apple level, but a real strategic pivot [1][3]. Evolution is under way.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Divesting a revenue-contributing commercial business (Bressner) to focus on higher-margin AI/defense required accepting a short-term revenue impact in exchange for long-term capability — a courageous capital allocation choice [1][3]. However, the track record is short under Knowles.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OSS has executed a clean strategic pivot under CEO Mike Knowles — divesting the lower-margin Bressner commercial business and refocusing on rugged AI edge compute for defense and commercial robotics [1][3]. Q4 2025 continuing-ops revenue jumped 70.2% YoY to $12.0M at a record 58.5% gross margin, and FY25 continuing revenue rose 31.2% to $32.2M [1][2]. 2026 guidance of 20-25% revenue growth with ~40% gross margin and positive EBITDA is supported by multi-year P-8 Poseidon and Safran Federal Systems awards plus an emerging U.S. Army AI-enabled video concentrator program for Stryker, Bradley, and Abrams combat vehicles [1][3]. The balance sheet is debt-free (D/E 3.2%) and the Inspire Impact Score of +53 with eight positive attributions (Customer Privacy, Data Security, Employee Wellbeing, Ethical Supply Chain, GHG Emissions, Materials Efficiency, Product Access, Regulatory Adherence) adds faith-alignment tailwind [5].</w:t>
      </w:r>
    </w:p>
    <w:p>
      <w:pPr>
        <w:spacing w:after="120"/>
      </w:pPr>
      <w:r>
        <w:rPr>
          <w:rFonts w:ascii="Calibri" w:hAnsi="Calibri"/>
          <w:b w:val="0"/>
          <w:color w:val="3A4A28"/>
          <w:sz w:val="20"/>
        </w:rPr>
        <w:t>The bear case is small-cap execution risk and valuation. ROE is negative at -8.5% and forward P/E of 116.8 reflects the market pricing in future profitability that hasn't yet materialized in GAAP earnings [5]. Market cap of only $217M and average daily volume of 1.9M shares create liquidity and volatility risk — any defense budget disruption or single-program slip could materially impact guidance. Defense revenue concentration (P-8 Poseidon, Army, Safran) creates program-specific risk, and CEO Knowles has only been in place since mid-2023, so the strategic pivot has not yet been tested across multiple procurement cycles [3][1]. Gross margin is expected to compress from Q4's 58.5% to ~40% in 2026 as mix shifts toward defense programs. Competition from larger primes (Curtiss-Wright, Mercury Systems) could pressure wins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revenue growth of 20-25% with positive EBITDA, supported by P-8 Poseidon, Safran Federal Systems, and U.S. Army AI video concentrator programs [1][2]</w:t>
      </w:r>
    </w:p>
    <w:p>
      <w:pPr>
        <w:spacing w:before="40" w:after="40"/>
        <w:ind w:left="283"/>
      </w:pPr>
      <w:r>
        <w:rPr>
          <w:rFonts w:ascii="Calibri" w:hAnsi="Calibri"/>
          <w:b/>
          <w:color w:val="4A6B25"/>
          <w:sz w:val="20"/>
        </w:rPr>
        <w:t xml:space="preserve">2. </w:t>
      </w:r>
      <w:r>
        <w:rPr>
          <w:rFonts w:ascii="Calibri" w:hAnsi="Calibri"/>
          <w:b w:val="0"/>
          <w:color w:val="3A4A28"/>
          <w:sz w:val="20"/>
        </w:rPr>
        <w:t>Expansion of U.S. Army AI-enabled video concentrator from initial purchase order into broader Stryker/Bradley/Abrams deployments [1][3]</w:t>
      </w:r>
    </w:p>
    <w:p>
      <w:pPr>
        <w:spacing w:before="40" w:after="40"/>
        <w:ind w:left="283"/>
      </w:pPr>
      <w:r>
        <w:rPr>
          <w:rFonts w:ascii="Calibri" w:hAnsi="Calibri"/>
          <w:b/>
          <w:color w:val="4A6B25"/>
          <w:sz w:val="20"/>
        </w:rPr>
        <w:t xml:space="preserve">3. </w:t>
      </w:r>
      <w:r>
        <w:rPr>
          <w:rFonts w:ascii="Calibri" w:hAnsi="Calibri"/>
          <w:b w:val="0"/>
          <w:color w:val="3A4A28"/>
          <w:sz w:val="20"/>
        </w:rPr>
        <w:t>Commercial robotics programs diversify the customer base away from pure defense dependency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ROE (-8.5%) and forward P/E of 116.8 leave little valuation cushion if execution slips [5]</w:t>
      </w:r>
    </w:p>
    <w:p>
      <w:pPr>
        <w:spacing w:before="40" w:after="40"/>
        <w:ind w:left="283"/>
      </w:pPr>
      <w:r>
        <w:rPr>
          <w:rFonts w:ascii="Calibri" w:hAnsi="Calibri"/>
          <w:b/>
          <w:color w:val="4A6B25"/>
          <w:sz w:val="20"/>
        </w:rPr>
        <w:t xml:space="preserve">2. </w:t>
      </w:r>
      <w:r>
        <w:rPr>
          <w:rFonts w:ascii="Calibri" w:hAnsi="Calibri"/>
          <w:b w:val="0"/>
          <w:color w:val="3A4A28"/>
          <w:sz w:val="20"/>
        </w:rPr>
        <w:t>Defense revenue concentration — any P-8 Poseidon or Army program delay could materially impact 2026 guidance [1][3]</w:t>
      </w:r>
    </w:p>
    <w:p>
      <w:pPr>
        <w:spacing w:before="40" w:after="40"/>
        <w:ind w:left="283"/>
      </w:pPr>
      <w:r>
        <w:rPr>
          <w:rFonts w:ascii="Calibri" w:hAnsi="Calibri"/>
          <w:b/>
          <w:color w:val="4A6B25"/>
          <w:sz w:val="20"/>
        </w:rPr>
        <w:t xml:space="preserve">3. </w:t>
      </w:r>
      <w:r>
        <w:rPr>
          <w:rFonts w:ascii="Calibri" w:hAnsi="Calibri"/>
          <w:b w:val="0"/>
          <w:color w:val="3A4A28"/>
          <w:sz w:val="20"/>
        </w:rPr>
        <w:t>Small-cap liquidity risk (market cap $217M) and competitive pressure from larger rugged compute primes (Curtiss-Wright, Mercury)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OSS is AI infrastructure for the physical world — rugged compute and sensor processing for aircraft, combat vehicles, and autonomous systems that AI software workloads require [1][3]. Defense contracts (P-8 Poseidon, U.S. Army combat vehicles, Safran Federal Systems) are deeply regulated and high-switching-cost programs that AI cannot substitute. Analysts do not flag AI as a substitution risk; rather, AI is the tailwind. Some commoditization risk exists in the broader rugged compute market from larger defense primes integrating their own solutions. AI Opportunity (1/1): AI is the explicit growth driver — U.S. Army AI-enabled video concentrator purchase order, multi-year P-8 Poseidon awards, and commercial robotics programs generate quantifiable AI-linked revenue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One Stop Systems Q4 2025 earnings release and transcript, March 18, 2026</w:t>
      </w:r>
    </w:p>
    <w:p>
      <w:pPr>
        <w:spacing w:before="20" w:after="20"/>
        <w:ind w:left="170"/>
      </w:pPr>
      <w:r>
        <w:rPr>
          <w:rFonts w:ascii="Calibri" w:hAnsi="Calibri"/>
          <w:b/>
          <w:color w:val="4A6B25"/>
          <w:sz w:val="15"/>
        </w:rPr>
        <w:t xml:space="preserve">2. </w:t>
      </w:r>
      <w:r>
        <w:rPr>
          <w:rFonts w:ascii="Calibri" w:hAnsi="Calibri"/>
          <w:b w:val="0"/>
          <w:color w:val="3A4A28"/>
          <w:sz w:val="17"/>
        </w:rPr>
        <w:t>Stocktitan / Globe Newswire — 'OSS Q4 revenue jumps 70% to $12M' and 2026 guidance 20-25% growth, March 2026</w:t>
      </w:r>
    </w:p>
    <w:p>
      <w:pPr>
        <w:spacing w:before="20" w:after="20"/>
        <w:ind w:left="170"/>
      </w:pPr>
      <w:r>
        <w:rPr>
          <w:rFonts w:ascii="Calibri" w:hAnsi="Calibri"/>
          <w:b/>
          <w:color w:val="4A6B25"/>
          <w:sz w:val="15"/>
        </w:rPr>
        <w:t xml:space="preserve">3. </w:t>
      </w:r>
      <w:r>
        <w:rPr>
          <w:rFonts w:ascii="Calibri" w:hAnsi="Calibri"/>
          <w:b w:val="0"/>
          <w:color w:val="3A4A28"/>
          <w:sz w:val="17"/>
        </w:rPr>
        <w:t>Military Embedded Systems and Globe Newswire — OSS defense awards (P-8 Poseidon, U.S. Army video concentrator, Safran Federal Systems)</w:t>
      </w:r>
    </w:p>
    <w:p>
      <w:pPr>
        <w:spacing w:before="20" w:after="20"/>
        <w:ind w:left="170"/>
      </w:pPr>
      <w:r>
        <w:rPr>
          <w:rFonts w:ascii="Calibri" w:hAnsi="Calibri"/>
          <w:b/>
          <w:color w:val="4A6B25"/>
          <w:sz w:val="15"/>
        </w:rPr>
        <w:t xml:space="preserve">4. </w:t>
      </w:r>
      <w:r>
        <w:rPr>
          <w:rFonts w:ascii="Calibri" w:hAnsi="Calibri"/>
          <w:b w:val="0"/>
          <w:color w:val="3A4A28"/>
          <w:sz w:val="17"/>
        </w:rPr>
        <w:t>Glassdoor — One Stop Systems reviews, culture/values 3.8/5</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OSS, retrieved April 15,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