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OSW</w:t>
      </w:r>
      <w:r>
        <w:rPr>
          <w:rFonts w:ascii="Calibri" w:hAnsi="Calibri"/>
          <w:b/>
          <w:color w:val="1A2010"/>
          <w:sz w:val="40"/>
        </w:rPr>
        <w:t xml:space="preserve">  OneSpaWorld Holdings Limited</w:t>
      </w:r>
    </w:p>
    <w:p>
      <w:pPr>
        <w:spacing w:after="120"/>
      </w:pPr>
      <w:r>
        <w:rPr>
          <w:rFonts w:ascii="Calibri" w:hAnsi="Calibri"/>
          <w:b/>
          <w:color w:val="6E8450"/>
          <w:sz w:val="18"/>
        </w:rPr>
        <w:t>GROWTH SLEEVE · 2026-05-01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Bahamas</w:t>
      </w:r>
    </w:p>
    <w:p>
      <w:pPr>
        <w:spacing w:after="80"/>
      </w:pPr>
      <w:r>
        <w:rPr>
          <w:rFonts w:ascii="Calibri" w:hAnsi="Calibri"/>
          <w:b w:val="0"/>
          <w:color w:val="3A4A28"/>
          <w:sz w:val="20"/>
        </w:rPr>
        <w:t>OneSpaWorld Holdings Limited operates health and wellness centers onboard cruise ships and at destination resorts worldwide. The company provides massage, aesthetics, medi-spa, fitness, and wellness services across 208 cruise ships and destination resorts, representing the dominant spa operator in the cruise industry.</w:t>
      </w:r>
    </w:p>
    <w:p>
      <w:r>
        <w:rPr>
          <w:rFonts w:ascii="Calibri" w:hAnsi="Calibri"/>
          <w:b/>
          <w:color w:val="6E8450"/>
          <w:sz w:val="18"/>
        </w:rPr>
        <w:t>5,395 Employees · https://onespaworld.com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OneSpaWorld has expanded its service offerings from traditional spa treatments to include medi-spa services (Thermage, TruSculpt, CoolSculpting, IV therapy, acupuncture LED therapy), which produced strong double-digit treatment growth in Q1 2026 — an incremental extension rather than a transformative pivot [1]. AI Deployment (1/2): The company has implemented a machine learning-powered yield optimization system actively being tested on 40 vessels, targeting revenue enhancement through personalized pricing and treatment recommendations [3]. Market Share Leadership (2/2): OneSpaWorld is the dominant cruise ship spa operator globally, operating health and wellness centers on 208 ships across every major cruise line including Norwegian, Disney, and Royal Caribbean — a near-monopoly position in cruise wellness [1]. Product Pipeline (1/2): Six new ship build launches planned for 2026, including Norwegian Luna and Disney Adventure already operational, provide clear near-term growth visibility, though these are capacity additions rather than new product categories [1]. R&amp;D Intensity (0/1): Below-average R&amp;D spending for a services company; innovation is primarily in treatment menu expansion and AI yield optimization rather than fundamental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OneSpaWorld's purpose — delivering 'health and wellness experiences that inspire personal transformation' — is clear and connects the company's services to a meaningful outcome, but is not distinctive among wellness companies and reads as standard industry language [4]. Community Impact (1/2): The company published its inaugural Sustainability and Social Responsibility Report in 2024, detailing a workforce of 88 nationalities and partnerships with 90+ suppliers, though specific charitable dollar amounts or community programs are not prominently disclosed [5]. Employee Retention (0/2): Glassdoor data is concerning — only 18% of employees would recommend working at OneSpaWorld, with a 2.3/5 overall rating, 2.0 for culture and values, and 2.1 for work-life balance, suggesting significant employee dissatisfaction [6]. Insider Buying (1/2): CEO Leonard Fluxman has led since 2021 (formerly CEO of predecessor Steiner Leisure since 2001), maintaining significant equity alignment, though no major net insider purchases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exceptionally strong across growth metrics. D/E of 17.4% is minimal against the 70% target [7]. Revenue of $989M grew 12.7% YoY with 20 consecutive quarters of record revenues and EBITDA [1]. Forward P/E of 18.9 is below the 20 target, and the estimated Forward PEG of ~0.44 (based on 43.3% earnings growth) is well below the 1.0 target — signaling the market is pricing in growth cheaply relative to earnings trajectory [7]. The only drag is a thin 7.9% profit margin, scoring 0.39 against the 20% target, which reflects the labor-intensive nature of spa services. Full-year 2026 guidance of $1.014B-$1.034B in revenue would represent the company's first billion-dollar year.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OneSpaWorld benefits from a 20+ year legacy in cruise wellness through predecessor Steiner Leisure, with CEO Fluxman providing continuity since 2001. The company's near-monopoly position on 208 cruise ships reflects decades of relationship-building with cruise lines. However, severely low employee satisfaction (18% Glassdoor recommendation rate) undermines the trust-based organizational foundation that Sinek requires, and the company's competitive position looks more like dominance than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OneSpaWorld's purpose of delivering wellness experiences that inspire personal transformation connects its work to health and wellbeing outcomes beyond profit. The cause has been consistently pursued for over two decades through Steiner Leisure and now OneSpaWorld, with CEO Fluxman maintaining strategic continuity since 2001 [4]. The consistent expansion into medi-spa and next-generation wellness treatments shows the cause evolving with the industry. However, the purpose hasn't been truly tested through a crisis that required sacrificing profitability.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OneSpaWorld's employee culture is deeply problematic. Glassdoor shows only 18% of employees would recommend working there, with a 2.0/5 rating for culture and values and 2.1/5 for work-life balance [6]. These are among the lowest scores for any publicly traded company. The 5,395-employee workforce — many working long hours aboard cruise ships — appears to operate in a low-trust, high-turnover environment that Sinek would identify as fundamentally undermining the company's ability to play an infinite game.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Despite its dominant market position in cruise wellness, OneSpaWorld's management focuses on improving service quality and introducing next-generation treatments rather than crushing competitors. The company's competitive language centers on expanding the wellness category and improving guest outcomes rather than defending market share against specific rivals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OneSpaWorld's evolution from Steiner Leisure (a traditional cruise spa operator founded in 1901) through the 2017 merger with Haymaker Acquisition Corp to its current form as a technology-enabled wellness platform represents genuine transformation [4]. The recent pivot into medi-spa services (Thermage, TruSculpt, CoolSculpting, IV therapy) and AI-powered yield optimization shows the company reinventing its service model beyond traditional massage and beauty treatments. The post-COVID rebuild — restarting operations from near-zero in 2020 to $989M in revenue — demonstrates survival through existential crisis.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showed courage by investing in AI yield optimization and medi-spa capabilities during a period of post-COVID recovery when the temptation was to optimize existing operations rather than invest in new capabilities [3]. The expansion from 199 to 208 ships year-over-year and introduction of six new ship builds in 2026 represents continued capital deployment for growth. However, as a near-monopoly in cruise wellness, these investments carry limited strategic risk — the company faces more execution risk than true courage-testing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OneSpaWorld holds a near-monopoly position in cruise ship wellness, operating on 208 vessels with 20 consecutive quarters of record revenue and EBITDA [1]. Q1 2026 revenue of $247.6M (+13% YoY) and raised full-year guidance of $1.014B-$1.034B position the company to cross the billion-dollar revenue threshold for the first time [1]. The growth trajectory is supported by secular cruise industry expansion (six new ship builds in 2026), higher-margin medi-spa treatments showing double-digit growth, and AI-powered yield optimization being deployed across the fleet [3]. At 18.9x forward earnings with 43% earnings growth, the valuation appears reasonable for a company with dominant market position and accelerating profitability.</w:t>
      </w:r>
    </w:p>
    <w:p>
      <w:pPr>
        <w:spacing w:after="120"/>
      </w:pPr>
      <w:r>
        <w:rPr>
          <w:rFonts w:ascii="Calibri" w:hAnsi="Calibri"/>
          <w:b w:val="0"/>
          <w:color w:val="3A4A28"/>
          <w:sz w:val="20"/>
        </w:rPr>
        <w:t>The bear case centers on cyclical risk and operational fragility. OneSpaWorld's entire business depends on cruise passenger volumes — any recession, pandemic, or geopolitical disruption that reduces cruise demand would directly impact revenue with limited cost flexibility given the labor-intensive service model [1]. Profit margins of 7.9% are thin, leaving little buffer for cost inflation or demand softness. The Glassdoor data is alarming — only 18% employee recommendation rate and 2.0/5 culture score suggest potential service quality and retention risks that could erode the guest experience and competitive position [6]. The company's Bahamas domicile raises governance questions, and the dividend (0.8% yield) is nominal. While the near-monopoly position is valuable, it also means growth is capped by cruise industry capacity additions rather than market share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Crossing $1B annual revenue threshold in FY2026 with guidance of $1.014B-$1.034B — a psychological milestone that could attract institutional attention and index inclusion consideration</w:t>
      </w:r>
    </w:p>
    <w:p>
      <w:pPr>
        <w:spacing w:before="40" w:after="40"/>
        <w:ind w:left="283"/>
      </w:pPr>
      <w:r>
        <w:rPr>
          <w:rFonts w:ascii="Calibri" w:hAnsi="Calibri"/>
          <w:b/>
          <w:color w:val="4A6B25"/>
          <w:sz w:val="20"/>
        </w:rPr>
        <w:t xml:space="preserve">2. </w:t>
      </w:r>
      <w:r>
        <w:rPr>
          <w:rFonts w:ascii="Calibri" w:hAnsi="Calibri"/>
          <w:b w:val="0"/>
          <w:color w:val="3A4A28"/>
          <w:sz w:val="20"/>
        </w:rPr>
        <w:t>Medi-spa treatments (Thermage, TruSculpt, CoolSculpting, IV therapy) showing strong double-digit growth could structurally expand margins as these higher-revenue services scale across the 208-ship network</w:t>
      </w:r>
    </w:p>
    <w:p>
      <w:pPr>
        <w:spacing w:before="40" w:after="40"/>
        <w:ind w:left="283"/>
      </w:pPr>
      <w:r>
        <w:rPr>
          <w:rFonts w:ascii="Calibri" w:hAnsi="Calibri"/>
          <w:b/>
          <w:color w:val="4A6B25"/>
          <w:sz w:val="20"/>
        </w:rPr>
        <w:t xml:space="preserve">3. </w:t>
      </w:r>
      <w:r>
        <w:rPr>
          <w:rFonts w:ascii="Calibri" w:hAnsi="Calibri"/>
          <w:b w:val="0"/>
          <w:color w:val="3A4A28"/>
          <w:sz w:val="20"/>
        </w:rPr>
        <w:t>AI-powered yield optimization system being tested on 40 vessels — if successful, fleet-wide rollout could drive meaningful revenue uplift per treatment through dynamic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Cruise industry cyclicality — any recession, pandemic, or geopolitical event that reduces cruise passenger volumes would directly impact OneSpaWorld's revenue with limited cost flexibility in a labor-intensive model</w:t>
      </w:r>
    </w:p>
    <w:p>
      <w:pPr>
        <w:spacing w:before="40" w:after="40"/>
        <w:ind w:left="283"/>
      </w:pPr>
      <w:r>
        <w:rPr>
          <w:rFonts w:ascii="Calibri" w:hAnsi="Calibri"/>
          <w:b/>
          <w:color w:val="4A6B25"/>
          <w:sz w:val="20"/>
        </w:rPr>
        <w:t xml:space="preserve">2. </w:t>
      </w:r>
      <w:r>
        <w:rPr>
          <w:rFonts w:ascii="Calibri" w:hAnsi="Calibri"/>
          <w:b w:val="0"/>
          <w:color w:val="3A4A28"/>
          <w:sz w:val="20"/>
        </w:rPr>
        <w:t>Severely low employee satisfaction (18% Glassdoor recommendation, 2.0/5 culture score) creates retention risk among 5,395 employees and could degrade service quality, threatening the premium wellness experience</w:t>
      </w:r>
    </w:p>
    <w:p>
      <w:pPr>
        <w:spacing w:before="40" w:after="40"/>
        <w:ind w:left="283"/>
      </w:pPr>
      <w:r>
        <w:rPr>
          <w:rFonts w:ascii="Calibri" w:hAnsi="Calibri"/>
          <w:b/>
          <w:color w:val="4A6B25"/>
          <w:sz w:val="20"/>
        </w:rPr>
        <w:t xml:space="preserve">3. </w:t>
      </w:r>
      <w:r>
        <w:rPr>
          <w:rFonts w:ascii="Calibri" w:hAnsi="Calibri"/>
          <w:b w:val="0"/>
          <w:color w:val="3A4A28"/>
          <w:sz w:val="20"/>
        </w:rPr>
        <w:t>Thin 7.9% profit margins leave minimal buffer for cost inflation, and the labor-intensive model faces pressure from wage growth across the 88-nationality workforce operating in a tight hospitality labor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OneSpaWorld's core business — delivering hands-on spa treatments, massage therapy, and medi-spa services by trained therapists aboard cruise ships — is structurally protected from AI displacement. Human touch, physical presence, and the experiential nature of wellness services cannot be replicated by AI [4]. The business operates in a physical environment (cruise ships) where AI substitution is impossible for the core service delivery. While AI could theoretically automate booking and scheduling, these are complementary tools, not substitution threats. AI Opportunity (1/1): OneSpaWorld is actively deploying AI for revenue enhancement — a machine learning-powered yield optimization system is being tested on 40 vessels to optimize pricing and treatment recommendations, representing early-stage but quantifiable AI revenue impact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OneSpaWorld Q1 FY2026 Earnings Release — Record revenue $247.6M, raised guidance to $1.014B-$1.034B, April 2026</w:t>
      </w:r>
    </w:p>
    <w:p>
      <w:pPr>
        <w:spacing w:before="20" w:after="20"/>
        <w:ind w:left="170"/>
      </w:pPr>
      <w:r>
        <w:rPr>
          <w:rFonts w:ascii="Calibri" w:hAnsi="Calibri"/>
          <w:b/>
          <w:color w:val="4A6B25"/>
          <w:sz w:val="15"/>
        </w:rPr>
        <w:t xml:space="preserve">2. </w:t>
      </w:r>
      <w:r>
        <w:rPr>
          <w:rFonts w:ascii="Calibri" w:hAnsi="Calibri"/>
          <w:b w:val="0"/>
          <w:color w:val="3A4A28"/>
          <w:sz w:val="17"/>
        </w:rPr>
        <w:t>OneSpaWorld FY2025 Annual Report — $989M revenue, 208 ships, operational overview, 2025</w:t>
      </w:r>
    </w:p>
    <w:p>
      <w:pPr>
        <w:spacing w:before="20" w:after="20"/>
        <w:ind w:left="170"/>
      </w:pPr>
      <w:r>
        <w:rPr>
          <w:rFonts w:ascii="Calibri" w:hAnsi="Calibri"/>
          <w:b/>
          <w:color w:val="4A6B25"/>
          <w:sz w:val="15"/>
        </w:rPr>
        <w:t xml:space="preserve">3. </w:t>
      </w:r>
      <w:r>
        <w:rPr>
          <w:rFonts w:ascii="Calibri" w:hAnsi="Calibri"/>
          <w:b w:val="0"/>
          <w:color w:val="3A4A28"/>
          <w:sz w:val="17"/>
        </w:rPr>
        <w:t>Simply Wall St / Sahm Capital — 'Did AI Initiatives and Raised Guidance Shift OneSpaWorld's Investment Narrative?', November 2025</w:t>
      </w:r>
    </w:p>
    <w:p>
      <w:pPr>
        <w:spacing w:before="20" w:after="20"/>
        <w:ind w:left="170"/>
      </w:pPr>
      <w:r>
        <w:rPr>
          <w:rFonts w:ascii="Calibri" w:hAnsi="Calibri"/>
          <w:b/>
          <w:color w:val="4A6B25"/>
          <w:sz w:val="15"/>
        </w:rPr>
        <w:t xml:space="preserve">4. </w:t>
      </w:r>
      <w:r>
        <w:rPr>
          <w:rFonts w:ascii="Calibri" w:hAnsi="Calibri"/>
          <w:b w:val="0"/>
          <w:color w:val="3A4A28"/>
          <w:sz w:val="17"/>
        </w:rPr>
        <w:t>OneSpaWorld corporate website — Leadership and Company Overview, accessed May 2026</w:t>
      </w:r>
    </w:p>
    <w:p>
      <w:pPr>
        <w:spacing w:before="20" w:after="20"/>
        <w:ind w:left="170"/>
      </w:pPr>
      <w:r>
        <w:rPr>
          <w:rFonts w:ascii="Calibri" w:hAnsi="Calibri"/>
          <w:b/>
          <w:color w:val="4A6B25"/>
          <w:sz w:val="15"/>
        </w:rPr>
        <w:t xml:space="preserve">5. </w:t>
      </w:r>
      <w:r>
        <w:rPr>
          <w:rFonts w:ascii="Calibri" w:hAnsi="Calibri"/>
          <w:b w:val="0"/>
          <w:color w:val="3A4A28"/>
          <w:sz w:val="17"/>
        </w:rPr>
        <w:t>OneSpaWorld Inaugural Sustainability and Social Responsibility Report, October 2024</w:t>
      </w:r>
    </w:p>
    <w:p>
      <w:pPr>
        <w:spacing w:before="20" w:after="20"/>
        <w:ind w:left="170"/>
      </w:pPr>
      <w:r>
        <w:rPr>
          <w:rFonts w:ascii="Calibri" w:hAnsi="Calibri"/>
          <w:b/>
          <w:color w:val="4A6B25"/>
          <w:sz w:val="15"/>
        </w:rPr>
        <w:t xml:space="preserve">6. </w:t>
      </w:r>
      <w:r>
        <w:rPr>
          <w:rFonts w:ascii="Calibri" w:hAnsi="Calibri"/>
          <w:b w:val="0"/>
          <w:color w:val="3A4A28"/>
          <w:sz w:val="17"/>
        </w:rPr>
        <w:t>Glassdoor — OneSpaWorld employee reviews (43 reviews, 2.3/5 rating), accessed May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OSW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