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OTEX</w:t>
      </w:r>
      <w:r>
        <w:rPr>
          <w:rFonts w:ascii="Calibri" w:hAnsi="Calibri"/>
          <w:b/>
          <w:color w:val="1A2010"/>
          <w:sz w:val="40"/>
        </w:rPr>
        <w:t xml:space="preserve">  Open Text Corporation</w:t>
      </w:r>
    </w:p>
    <w:p>
      <w:pPr>
        <w:spacing w:after="120"/>
      </w:pPr>
      <w:r>
        <w:rPr>
          <w:rFonts w:ascii="Calibri" w:hAnsi="Calibri"/>
          <w:b/>
          <w:color w:val="6E8450"/>
          <w:sz w:val="18"/>
        </w:rPr>
        <w:t>DIVIDEND SLEEVE · 2026-04-19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Canada</w:t>
      </w:r>
    </w:p>
    <w:p>
      <w:pPr>
        <w:spacing w:after="80"/>
      </w:pPr>
      <w:r>
        <w:rPr>
          <w:rFonts w:ascii="Calibri" w:hAnsi="Calibri"/>
          <w:b w:val="0"/>
          <w:color w:val="3A4A28"/>
          <w:sz w:val="20"/>
        </w:rPr>
        <w:t>Open Text Corporation designs, develops, and sells information management software and solutions globally. The company offers cloud services and subscriptions, content management, business network, cybersecurity, AI and analytics, and IT operations management solutions. Following the $5.8B Micro Focus acquisition in 2023 and subsequent divestitures, OpenText is transitioning to a cloud-first model with 20 consecutive quarters of organic cloud growth.</w:t>
      </w:r>
    </w:p>
    <w:p>
      <w:r>
        <w:rPr>
          <w:rFonts w:ascii="Calibri" w:hAnsi="Calibri"/>
          <w:b/>
          <w:color w:val="6E8450"/>
          <w:sz w:val="18"/>
        </w:rPr>
        <w:t>21,300 Employees · https://www.opentext.com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OpenText's growth has been primarily acquisition-driven (Micro Focus for $5.8B in 2023), with subsequent divestitures reshaping the portfolio. This is financial engineering rather than organic innovation, and organic revenue growth has been flat to slightly negative [1]. AI Deployment (1/2): OpenText has integrated AI capabilities into its information management platform and claims AI-driven features across content management and analytics products, but no specific AI revenue figures or quantified customer ROI have been disclosed [2]. Market Share (1/2): OpenText is a meaningful player in enterprise content management and information governance but faces fierce competition from Microsoft, IBM, Box, and Salesforce, all of which have deeper developer ecosystems and faster innovation cycles [2]. Pipeline (0/2): No specific next-generation products with launch dates and revenue visibility; the company's 1-2% revenue growth guidance for FY2026 signals incremental evolution rather than breakthrough pipeline [1]. R&amp;D Intensity (1/1): Adequate R&amp;D investment for an enterprise software company, though the focus on integration of acquired assets may divert resources from net-new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OpenText's purpose lacks a distinctive, inspiring articulation — the company positions itself as a leader in 'information management' and 'digital transformation,' which is generic and interchangeable with dozens of enterprise software peers [2]. Community Impact (1/2): OpenText's Zero-In Initiative targets net zero by 2040 and 50/50 gender parity, earning DJSI North America inclusion and MSCI 'AAA' ESG rating — credible commitments though not distinctive charitable programs [3]. Employee Retention (0/2): Glassdoor reviews reveal significant leadership concerns — employees describe a 'yes man culture,' micro-management, and 'CYA' dynamics trickling down from the executive team. The CEO departure (Barrenechea removed) further signals organizational instability [2]. Insider Buying (1/2): No evidence of meaningful net insider buying; however, the new interim CEO appointment (James McGourlay) represents a fresh start that could change dynamics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OpenText trades at a remarkably low Forward P/E of 5.3x, reflecting market skepticism about the post-acquisition integration and leadership transition [5]. D/E of 163% is elevated from the Micro Focus acquisition financing but manageable given the software business's cash flow generation. ROE of 10.6% is below the 15% target but improving as integration synergies materialize [1]. Profit margin of 8.4% (GAAP) is depressed by acquisition-related amortization; adjusted EBITDA margin of 37% is strong for enterprise software [1]. Revenue declined 0.6% YoY (GAAP), though organic cloud revenue grew 6% in Q1 and the company guided 1-2% total growth for FY2026 [1]. The 5-year revenue CAGR of 13.9% is inflated by Micro Focus. Dividend yield of 4.63% with 12+ consecutive years of payments and 6.5% 5-year dividend growth CAGR shows commitment to shareholder returns. Liquidity: 2.2M avg volume × $23.47 = $52.2M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OpenText under the departing Barrenechea era operated with a predominantly finite mindset — growth through serial acquisitions, centralized command-and-control leadership, and optimization for quarterly financial metrics rather than a purpose-driven strategy. The CEO removal and interim leadership appointment signal a potential reset, but the company's culture of micro-management and 'CYA' dynamics suggest deep organizational challenges.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OpenText lacks a distinctive Just Cause. The company's positioning around 'information management' and 'digital transformation' is functional but uninspiring — it describes what OpenText does, not why it exists or what future it envisions [2]. Strategic decisions have been driven by acquisition-fueled financial engineering rather than a consistent purpose, with the Micro Focus acquisition and subsequent divestitures reflecting opportunistic deal-making.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low-trust environment characterized by 'yes man culture,' micro-management from the CEO and executive team, and a 'CYA' dynamic that creates unnecessary stress [2]. The forced CEO departure of Mark Barrenechea further signals leadership dysfunction. Employees describe poor leadership decision-making and limited psychological safety for dissent. This is a finite-game organization where people protect themselves rather than advance a cause.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OpenText competes against Microsoft, IBM, Box, and Salesforce but there is no evidence of management acknowledging rivals' strengths or using competitive pressure constructively. The acquisition-driven strategy (buying Micro Focus to gain scale) suggests a finite mindset of competing through size rather than 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Micro Focus acquisition and subsequent portfolio reshaping — divesting non-core assets while doubling down on cloud and AI — represents meaningful strategic evolution, though driven by competitive necessity rather than a Just Cause [1]. The company has transitioned from on-premise licensing to cloud subscriptions (20 consecutive quarters of organic cloud growth), showing willingness to cannibalize legacy revenue.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board's decision to remove CEO Barrenechea after concerns about innovation stagnation demonstrates a willingness to make difficult leadership changes for long-term health [2]. However, the acquisition-heavy strategy under Barrenechea prioritized financial engineering over organic investment, and the company has not demonstrated a pattern of courageous long-term bets during his tenure.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OpenText is a deep value play trading at 5.3x forward P/E — an extreme discount for an enterprise software company generating 37% adjusted EBITDA margins and 20 consecutive quarters of organic cloud growth [1]. Q2 FY2026 revenue of $1.33B with 18% cloud content management growth and expanding margins suggest the post-Micro Focus integration is yielding results. The 4.63% dividend yield with 6.5% five-year CAGR and 12 consecutive years of payments provides meaningful income while investors wait for the turnaround to play out [5]. The CEO transition to interim leader James McGourlay could unlock innovation that was reportedly stifled under Barrenechea's centralized control, and potential asset sales could accelerate deleveraging from the current 163% D/E ratio [2].</w:t>
      </w:r>
    </w:p>
    <w:p>
      <w:pPr>
        <w:spacing w:after="120"/>
      </w:pPr>
      <w:r>
        <w:rPr>
          <w:rFonts w:ascii="Calibri" w:hAnsi="Calibri"/>
          <w:b w:val="0"/>
          <w:color w:val="3A4A28"/>
          <w:sz w:val="20"/>
        </w:rPr>
        <w:t>The bear case is substantial. The CEO removal signals deep organizational dysfunction — Glassdoor reviews describe micro-management, 'yes man culture,' and fear-based decision-making that may take years to remediate [2]. Organic revenue growth is essentially flat (1-2% guided for FY2026), meaning the company is treading water while competitors like Microsoft (Copilot), Box, and IBM invest aggressively in AI-native information management. D/E of 163% from the Micro Focus acquisition limits financial flexibility and creates interest expense drag on GAAP earnings (profit margin only 8.4%) [5]. The leadership vacuum during the interim CEO period creates strategic uncertainty — potential acquirers, activists, or further management changes could distract from operational execution. AI disruption risk is real: generative AI tools can automate content classification, search, and compliance workflows that form OpenText's core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could reset strategic direction and restore investor confidence, potentially unlocking the deep value in the 5.3x forward P/E multiple [2]</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Micro Focus acquisition-related deleveraging and potential non-core asset sales, improving GAAP profitability and reducing interest expense [1]</w:t>
      </w:r>
    </w:p>
    <w:p>
      <w:pPr>
        <w:spacing w:before="40" w:after="40"/>
        <w:ind w:left="283"/>
      </w:pPr>
      <w:r>
        <w:rPr>
          <w:rFonts w:ascii="Calibri" w:hAnsi="Calibri"/>
          <w:b/>
          <w:color w:val="4A6B25"/>
          <w:sz w:val="20"/>
        </w:rPr>
        <w:t xml:space="preserve">3. </w:t>
      </w:r>
      <w:r>
        <w:rPr>
          <w:rFonts w:ascii="Calibri" w:hAnsi="Calibri"/>
          <w:b w:val="0"/>
          <w:color w:val="3A4A28"/>
          <w:sz w:val="20"/>
        </w:rPr>
        <w:t>Cloud revenue trajectory — 20 consecutive quarters of organic cloud growth with 18% Q2 content management cloud growth could accelerate as the SaaS transition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Microsoft Copilot, Google Workspace AI, and AI-native content management tools that could automate workflows currently requiring OpenText's enterprise platform [2]</w:t>
      </w:r>
    </w:p>
    <w:p>
      <w:pPr>
        <w:spacing w:before="40" w:after="40"/>
        <w:ind w:left="283"/>
      </w:pPr>
      <w:r>
        <w:rPr>
          <w:rFonts w:ascii="Calibri" w:hAnsi="Calibri"/>
          <w:b/>
          <w:color w:val="4A6B25"/>
          <w:sz w:val="20"/>
        </w:rPr>
        <w:t xml:space="preserve">2. </w:t>
      </w:r>
      <w:r>
        <w:rPr>
          <w:rFonts w:ascii="Calibri" w:hAnsi="Calibri"/>
          <w:b w:val="0"/>
          <w:color w:val="3A4A28"/>
          <w:sz w:val="20"/>
        </w:rPr>
        <w:t>Leadership vacuum — interim CEO period with no permanent successor named creates strategic uncertainty and potential for further organizational disruption [2]</w:t>
      </w:r>
    </w:p>
    <w:p>
      <w:pPr>
        <w:spacing w:before="40" w:after="40"/>
        <w:ind w:left="283"/>
      </w:pPr>
      <w:r>
        <w:rPr>
          <w:rFonts w:ascii="Calibri" w:hAnsi="Calibri"/>
          <w:b/>
          <w:color w:val="4A6B25"/>
          <w:sz w:val="20"/>
        </w:rPr>
        <w:t xml:space="preserve">3. </w:t>
      </w:r>
      <w:r>
        <w:rPr>
          <w:rFonts w:ascii="Calibri" w:hAnsi="Calibri"/>
          <w:b w:val="0"/>
          <w:color w:val="3A4A28"/>
          <w:sz w:val="20"/>
        </w:rPr>
        <w:t>Elevated leverage (163% D/E) from Micro Focus acquisition limits financial flexibility and creates vulnerability to rising interest costs or revenue deceleration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OpenText's core enterprise content management and information governance businesses face meaningful AI disruption risk. Microsoft Copilot, Google Workspace AI, and emerging AI-native document management tools can automate many of the workflows OpenText currently manages — search, classification, compliance routing, and content analytics [2]. The company's legacy on-premise customer base provides near-term switching cost protection, but cloud-native competitors with embedded AI (Microsoft, Box) are structurally advantaged. Analysts have flagged OpenText's ability to innovate in AI as a key concern, particularly given the CEO transition and historical reliance on acquisitions over organic R&amp;D [2]. AI Opportunity (1/1): OpenText has integrated AI features into its cloud platform for content classification, analytics, and cybersecurity, generating some AI-enhanced subscription revenue, though specific figures are not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OpenText Q2 FY2026 Earnings Release — $1.33B revenue, 37% adjusted EBITDA margin, 18% cloud CM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OpenText leadership transition — Barrenechea removal, McGourlay interim CEO, Glassdoor reviews, HyperFRAME Research analysis, 2025-2026</w:t>
      </w:r>
    </w:p>
    <w:p>
      <w:pPr>
        <w:spacing w:before="20" w:after="20"/>
        <w:ind w:left="170"/>
      </w:pPr>
      <w:r>
        <w:rPr>
          <w:rFonts w:ascii="Calibri" w:hAnsi="Calibri"/>
          <w:b/>
          <w:color w:val="4A6B25"/>
          <w:sz w:val="15"/>
        </w:rPr>
        <w:t xml:space="preserve">3. </w:t>
      </w:r>
      <w:r>
        <w:rPr>
          <w:rFonts w:ascii="Calibri" w:hAnsi="Calibri"/>
          <w:b w:val="0"/>
          <w:color w:val="3A4A28"/>
          <w:sz w:val="17"/>
        </w:rPr>
        <w:t>OpenText ESG — Zero-In Initiative, DJSI inclusion, MSCI AAA rating, sustainability commitments,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OpenText Q1 FY2026 Earnings Release — $1.29B revenue, 6% cloud growth, 36.3% adjusted EBITDA, October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OTEX (Open Text Corporation),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