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OTF</w:t>
      </w:r>
      <w:r>
        <w:rPr>
          <w:rFonts w:ascii="Calibri" w:hAnsi="Calibri"/>
          <w:b/>
          <w:color w:val="1A2010"/>
          <w:sz w:val="40"/>
        </w:rPr>
        <w:t xml:space="preserve">  Blue Owl Technology Finance Corp.</w:t>
      </w:r>
    </w:p>
    <w:p>
      <w:pPr>
        <w:spacing w:after="120"/>
      </w:pPr>
      <w:r>
        <w:rPr>
          <w:rFonts w:ascii="Calibri" w:hAnsi="Calibri"/>
          <w:b/>
          <w:color w:val="6E8450"/>
          <w:sz w:val="18"/>
        </w:rPr>
        <w:t>DIVIDEND SLEEVE · 2026-04-14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Blue Owl Technology Finance Corp. (OTF) is an externally managed business development company (BDC) focused on direct lending to U.S. enterprise software and technology companies. The portfolio holds 199 investments at $14.3B aggregate fair value, with average borrower revenue of $945M and EBITDA of ~$300M. OTF listed on the NYSE in June 2025 after operating as a non-traded BDC since 2018.</w:t>
      </w:r>
    </w:p>
    <w:p>
      <w:r>
        <w:rPr>
          <w:rFonts w:ascii="Calibri" w:hAnsi="Calibri"/>
          <w:b/>
          <w:color w:val="6E8450"/>
          <w:sz w:val="18"/>
        </w:rPr>
        <w:t>https://www.blueowltechnologyfinance.com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OTF deployed $4.8B+ into investments in 2025 and grew the portfolio to $14.3B across 199 borrowers, with 2025 revenue of $1.15B (up 67%) and earnings of $720M (up 126%) reflecting both portfolio growth and the June 2025 NYSE listing transition [1][2]. AI Deployment (1/2): Blue Owl Capital's parent firm presented at the 3rd Annual AI Summit in September 2025 highlighting internal AI initiatives across underwriting and portfolio monitoring, but no shipped product revenue from AI [3]. Market Share (1/2): OTF is one of the larger tech-focused BDCs but operates in a crowded private-credit market alongside Blackstone Private Credit, Ares, Owl Rock's other BDCs, and Apollo. Pipeline (1/2): $4.8B 2025 deployment plus the backlog positions OTF at the bottom of its targeted leverage range entering Q1 2026 — reasonable visibility but no transformative catalysts [1]. R&amp;D Intensity (0/1): Not a meaningful concept for an externally managed BDC.</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OTF's stated purpose is providing flexible private capital to enterprise software and technology companies — clear and aligned with the parent Blue Owl platform but not transformative or distinctive among private credit funds (2 pts). Community Impact (0/2): As an externally managed BDC, OTF has no direct community programs; Blue Owl Capital parent has standard sustainability disclosures [4]. Employee Retention (1/2): The BDC has zero direct employees — it relies on Blue Owl Credit Advisors. Erik Bissonnette has a long Blue Owl tenure as President and Co-Head of Technology Investment, and Co-CEO Marc Lipschultz brings 20+ years from KKR, providing leadership stability (1 pt) [3]. Insider Buying (1/2): Co-CEO Lipschultz and Blue Owl management have material equity in the parent OWL, though OTF-specific insider purchasing has been muted; some director purchases following the June 2025 IPO listed.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easily clears the floor: 2.3M avg vol x $11.61 = $27M dollar liquidity. Profit margin of 62.9% and ROE of 12.3% reflect typical BDC economics. Forward P/E of 8.5 is attractive and the ~12% dividend yield is supported by 2025 net investment income that grew 126%. Revenue growth of 92.3% YoY reflects portfolio scaling and the IPO-related accounting; the 5-year CAGR is also strong. D/E of 78% is moderate for a BDC and within the targeted leverage range. Dividend track record extends back to 2018 as a non-traded BDC — ~7 consecutive years of distribution payments and growth. Recent Moody's negative outlook revision (April 2026) on outflows from Blue Owl funds is a notable warning sign on the asset gathering side, though OTF's listed structure insulates it from redemption pressure that affected Blue Owl's interval funds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OTF is a well-managed BDC with experienced credit talent under the Blue Owl umbrella, but the structural concentration in software lending right at the moment AI is reshaping software economics is the central tension. Sinek would flag the externally managed BDC structure and the recent fund-level outflows as evidence the parent platform is under stress — not a sign of a company built to endure on its current concentration.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flexible private capital to growing technology companies is a clear cause but is interchangeable with peers like Ares Capital and Blackstone Private Credit, and is fundamentally a financial structure (1 pt)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Stable Blue Owl Credit Advisors team with long tenures (Lipschultz, Packer, Bissonnette), no public culture red flags despite parent-level outflows (1 pt) [3]. The externally managed structure means trust is a parent-firm question more than an OTF question.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public competitive humility — Blue Owl tends to position OTF as differentiated rather than reference rivals' strengths (0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OTF transitioned from a non-traded BDC to an NYSE-listed BDC in June 2025, demonstrating willingness to evolve the vehicle structure to access permanent capital (1 pt) [1]. Has not yet pivoted away from software concentration despite AI risk.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Continuing to deploy $4.8B in 2025 even as Blue Owl parent faced fund-level outflows shows conviction in underwriting (1 pt) [1][5]. Counterbalanced by the sector concentration the team has not de-risked.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OTF offers a ~12% dividend yield from a Blue Owl-managed BDC that grew its portfolio to $14.3B across 199 enterprise software and technology borrowers in 2025, with revenue up 67% and earnings up 126% [1][2]. The borrower base is high-quality — average revenue of $945M and EBITDA of ~$300M with low- to mid-teens revenue and EBITDA growth — well above typical middle-market direct lending. The June 2025 NYSE listing gives OTF permanent capital and public-market liquidity, and the fund deployed $4.8B in 2025 with backlog positioning it at the bottom of targeted leverage entering Q1 2026. Forward P/E of 8.5 and a ~12% yield with stable distribution history (7 years of payments since the 2018 non-traded launch) make OTF look attractively priced for a senior-secured tech-credit play managed by Blue Owl Capital's experienced credit team led by Co-CEO Marc Lipschultz (ex-KKR, 20+ years).</w:t>
      </w:r>
    </w:p>
    <w:p>
      <w:pPr>
        <w:spacing w:after="120"/>
      </w:pPr>
      <w:r>
        <w:rPr>
          <w:rFonts w:ascii="Calibri" w:hAnsi="Calibri"/>
          <w:b w:val="0"/>
          <w:color w:val="3A4A28"/>
          <w:sz w:val="20"/>
        </w:rPr>
        <w:t>The bear case is structural and acute right now. Roughly 70% of OTF's portfolio is in enterprise software — exactly the sector under the most aggressive AI disruption pressure in 2026, and Bloomberg reporting plus an April 8, 2026 Moody's negative outlook on a Blue Owl fund highlight that medium-term software loans (3–5 years to maturity) are being repriced for AI-displacement default risk [5][6]. Blue Owl's stock closed at a record low in early April 2026 amid private-credit redemption fears across the $1.8 trillion direct-lending market. While OTF's listed structure insulates it from interval-fund redemption mechanics, NAV and dividend coverage would deteriorate quickly if software-borrower defaults materialize. The externally managed BDC structure means fees flow to Blue Owl regardless of NAV trajectory, creating principal-agent tension. Faith alignment is neutral (Inspire score 0). For now, OTF is a watch-list yield idea pending evidence that software-credit losses remain contained.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$14.3B portfolio across 199 borrowers with average $945M revenue / $300M EBITDA generating ~12% dividend yield supported by 67% revenue growth and 126% earnings growth in 2025 [1][2]</w:t>
      </w:r>
    </w:p>
    <w:p>
      <w:pPr>
        <w:spacing w:before="40" w:after="40"/>
        <w:ind w:left="283"/>
      </w:pPr>
      <w:r>
        <w:rPr>
          <w:rFonts w:ascii="Calibri" w:hAnsi="Calibri"/>
          <w:b/>
          <w:color w:val="4A6B25"/>
          <w:sz w:val="20"/>
        </w:rPr>
        <w:t xml:space="preserve">2. </w:t>
      </w:r>
      <w:r>
        <w:rPr>
          <w:rFonts w:ascii="Calibri" w:hAnsi="Calibri"/>
          <w:b w:val="0"/>
          <w:color w:val="3A4A28"/>
          <w:sz w:val="20"/>
        </w:rPr>
        <w:t>June 2025 NYSE listing provides permanent capital and trading liquidity, with Q1 2026 leverage at the bottom of targeted range giving room to deploy [1]</w:t>
      </w:r>
    </w:p>
    <w:p>
      <w:pPr>
        <w:spacing w:before="40" w:after="40"/>
        <w:ind w:left="283"/>
      </w:pPr>
      <w:r>
        <w:rPr>
          <w:rFonts w:ascii="Calibri" w:hAnsi="Calibri"/>
          <w:b/>
          <w:color w:val="4A6B25"/>
          <w:sz w:val="20"/>
        </w:rPr>
        <w:t xml:space="preserve">3. </w:t>
      </w:r>
      <w:r>
        <w:rPr>
          <w:rFonts w:ascii="Calibri" w:hAnsi="Calibri"/>
          <w:b w:val="0"/>
          <w:color w:val="3A4A28"/>
          <w:sz w:val="20"/>
        </w:rPr>
        <w:t>Forward P/E of 8.5 and stable 7-year distribution history under disciplined Blue Owl Credit Advisors underwriting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~70% software portfolio concentration at exactly the moment AI is restructuring SaaS economics; Bloomberg / Moody's flagging medium-term software loans (3–5 yr) as default-risk in early April 2026 [5][6]</w:t>
      </w:r>
    </w:p>
    <w:p>
      <w:pPr>
        <w:spacing w:before="40" w:after="40"/>
        <w:ind w:left="283"/>
      </w:pPr>
      <w:r>
        <w:rPr>
          <w:rFonts w:ascii="Calibri" w:hAnsi="Calibri"/>
          <w:b/>
          <w:color w:val="4A6B25"/>
          <w:sz w:val="20"/>
        </w:rPr>
        <w:t xml:space="preserve">2. </w:t>
      </w:r>
      <w:r>
        <w:rPr>
          <w:rFonts w:ascii="Calibri" w:hAnsi="Calibri"/>
          <w:b w:val="0"/>
          <w:color w:val="3A4A28"/>
          <w:sz w:val="20"/>
        </w:rPr>
        <w:t>Parent-firm stress — Blue Owl Capital (OWL) at record-low share price amid private-credit redemption concerns; reputational and operational spillover risk [5]</w:t>
      </w:r>
    </w:p>
    <w:p>
      <w:pPr>
        <w:spacing w:before="40" w:after="40"/>
        <w:ind w:left="283"/>
      </w:pPr>
      <w:r>
        <w:rPr>
          <w:rFonts w:ascii="Calibri" w:hAnsi="Calibri"/>
          <w:b/>
          <w:color w:val="4A6B25"/>
          <w:sz w:val="20"/>
        </w:rPr>
        <w:t xml:space="preserve">3. </w:t>
      </w:r>
      <w:r>
        <w:rPr>
          <w:rFonts w:ascii="Calibri" w:hAnsi="Calibri"/>
          <w:b w:val="0"/>
          <w:color w:val="3A4A28"/>
          <w:sz w:val="20"/>
        </w:rPr>
        <w:t>Externally managed BDC structure creates fee/agency misalignment if NAV deteriorates and management fees flow to Blue Owl regardless of unitholder return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OTF's portfolio is ~70% concentrated in enterprise software borrowers — exactly the cohort most exposed to AI-driven business model disruption. Bloomberg reporting (April 2026) highlights that medium-term loans (3–5 years) managed by Blue Owl are increasingly seen as at-risk of default due to AI displacement of legacy SaaS revenue, and Moody's revised the outlook on a Blue Owl fund to negative on April 8, 2026 [5][6]. While OTF's specific borrowers — averaging $945M revenue and $300M EBITDA — are larger and more durable than typical private-credit middle-market exposures, the sector concentration creates real substitution risk. Analysts have explicitly flagged this as a market concern [5][6]. AI Opportunity (0/1): OTF lends to AI-adjacent software companies but does not generate AI product revenue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OTF FY2025 results — $1.15B revenue (up 67%), $720M earnings (up 126%), 199 borrowers, $14.3B portfolio fair value, February 2026</w:t>
      </w:r>
    </w:p>
    <w:p>
      <w:pPr>
        <w:spacing w:before="20" w:after="20"/>
        <w:ind w:left="170"/>
      </w:pPr>
      <w:r>
        <w:rPr>
          <w:rFonts w:ascii="Calibri" w:hAnsi="Calibri"/>
          <w:b/>
          <w:color w:val="4A6B25"/>
          <w:sz w:val="15"/>
        </w:rPr>
        <w:t xml:space="preserve">2. </w:t>
      </w:r>
      <w:r>
        <w:rPr>
          <w:rFonts w:ascii="Calibri" w:hAnsi="Calibri"/>
          <w:b w:val="0"/>
          <w:color w:val="3A4A28"/>
          <w:sz w:val="17"/>
        </w:rPr>
        <w:t>OTF $4.8B 2025 deployment, Q1 2026 leverage at low end of targeted range, NYSE listing June 2025</w:t>
      </w:r>
    </w:p>
    <w:p>
      <w:pPr>
        <w:spacing w:before="20" w:after="20"/>
        <w:ind w:left="170"/>
      </w:pPr>
      <w:r>
        <w:rPr>
          <w:rFonts w:ascii="Calibri" w:hAnsi="Calibri"/>
          <w:b/>
          <w:color w:val="4A6B25"/>
          <w:sz w:val="15"/>
        </w:rPr>
        <w:t xml:space="preserve">3. </w:t>
      </w:r>
      <w:r>
        <w:rPr>
          <w:rFonts w:ascii="Calibri" w:hAnsi="Calibri"/>
          <w:b w:val="0"/>
          <w:color w:val="3A4A28"/>
          <w:sz w:val="17"/>
        </w:rPr>
        <w:t>Blue Owl Technology Finance management &amp; officers, parent Blue Owl Capital leadership (Lipschultz, Packer, Bissonnette)</w:t>
      </w:r>
    </w:p>
    <w:p>
      <w:pPr>
        <w:spacing w:before="20" w:after="20"/>
        <w:ind w:left="170"/>
      </w:pPr>
      <w:r>
        <w:rPr>
          <w:rFonts w:ascii="Calibri" w:hAnsi="Calibri"/>
          <w:b/>
          <w:color w:val="4A6B25"/>
          <w:sz w:val="15"/>
        </w:rPr>
        <w:t xml:space="preserve">4. </w:t>
      </w:r>
      <w:r>
        <w:rPr>
          <w:rFonts w:ascii="Calibri" w:hAnsi="Calibri"/>
          <w:b w:val="0"/>
          <w:color w:val="3A4A28"/>
          <w:sz w:val="17"/>
        </w:rPr>
        <w:t>Blue Owl Capital ESG policy and sustainability disclosures</w:t>
      </w:r>
    </w:p>
    <w:p>
      <w:pPr>
        <w:spacing w:before="20" w:after="20"/>
        <w:ind w:left="170"/>
      </w:pPr>
      <w:r>
        <w:rPr>
          <w:rFonts w:ascii="Calibri" w:hAnsi="Calibri"/>
          <w:b/>
          <w:color w:val="4A6B25"/>
          <w:sz w:val="15"/>
        </w:rPr>
        <w:t xml:space="preserve">5. </w:t>
      </w:r>
      <w:r>
        <w:rPr>
          <w:rFonts w:ascii="Calibri" w:hAnsi="Calibri"/>
          <w:b w:val="0"/>
          <w:color w:val="3A4A28"/>
          <w:sz w:val="17"/>
        </w:rPr>
        <w:t>Bloomberg — 'Blue Owl Closes at a Record Low Amid Private Credit Exodus,' April 6, 2026; 'Blue Owl Fund Outlook Cut to Negative by Moody’s on Outflows,' April 8, 2026</w:t>
      </w:r>
    </w:p>
    <w:p>
      <w:pPr>
        <w:spacing w:before="20" w:after="20"/>
        <w:ind w:left="170"/>
      </w:pPr>
      <w:r>
        <w:rPr>
          <w:rFonts w:ascii="Calibri" w:hAnsi="Calibri"/>
          <w:b/>
          <w:color w:val="4A6B25"/>
          <w:sz w:val="15"/>
        </w:rPr>
        <w:t xml:space="preserve">6. </w:t>
      </w:r>
      <w:r>
        <w:rPr>
          <w:rFonts w:ascii="Calibri" w:hAnsi="Calibri"/>
          <w:b w:val="0"/>
          <w:color w:val="3A4A28"/>
          <w:sz w:val="17"/>
        </w:rPr>
        <w:t>IDNFinancials — 'Blue Owl crisis: 70% software exposure triggers investor exodus,'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yfinance data for OTF,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