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OTLK</w:t>
      </w:r>
      <w:r>
        <w:rPr>
          <w:rFonts w:ascii="Calibri" w:hAnsi="Calibri"/>
          <w:b/>
          <w:color w:val="1A2010"/>
          <w:sz w:val="40"/>
        </w:rPr>
        <w:t xml:space="preserve">  Outlook Therapeutics, Inc.</w:t>
      </w:r>
    </w:p>
    <w:p>
      <w:pPr>
        <w:spacing w:after="120"/>
      </w:pPr>
      <w:r>
        <w:rPr>
          <w:rFonts w:ascii="Calibri" w:hAnsi="Calibri"/>
          <w:b/>
          <w:color w:val="6E8450"/>
          <w:sz w:val="18"/>
        </w:rPr>
        <w:t>GROWTH SLEEVE · 2026-03-31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Outlook Therapeutics is a clinical-stage biopharmaceutical company focused on developing and commercializing LYTENAVA (bevacizumab gamma) as the first FDA-approved ophthalmic formulation of bevacizumab for retinal diseases including wet age-related macular degeneration (AMD), diabetic macular edema (DME), and branch retinal vein occlusion (BRVO).</w:t>
      </w:r>
    </w:p>
    <w:p>
      <w:r>
        <w:rPr>
          <w:rFonts w:ascii="Calibri" w:hAnsi="Calibri"/>
          <w:b/>
          <w:color w:val="6E8450"/>
          <w:sz w:val="18"/>
        </w:rPr>
        <w:t>17 Employees · https://outlooktherapeutics.com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Outlook Therapeutics has virtually no revenue — TTM revenue of approximately $297K with ongoing net losses forecast at -$52M to -$103M for FY2026 [1]. The company has failed to achieve FDA approval after years of effort, with the August 2025 Complete Response Letter citing failure to meet the primary efficacy endpoint in the NORSE EIGHT trial [2]. AI Deployment (0/2): No AI capabilities or deployment; the company is a small clinical-stage biotech with 17 employees [3]. Market Share (1/2): LYTENAVA has achieved European approval and unit sales more than doubled QoQ in Q1 FY2026, showing initial commercial traction in a large ophthalmic market [1]. Pipeline (1/2): LYTENAVA launches planned for Ireland and Netherlands in 2026, France/Italy/Spain in 2027, but the US market — the largest opportunity — remains blocked by FDA rejection. R&amp;D Intensity (0/1): R&amp;D spending is focused on a single product with a failed US pivotal trial, raising questions about the underlying science.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Addressing unmet needs in retinal disease treatment is a worthy healthcare mission, but execution has been poor — the FDA rejection undermines credibility. Community Impact (0/2): With only 17 employees and negligible revenue, the company's community and economic footprint is minimal [3]. Employee Retention (0/2): Glassdoor reviews (14 total) describe deteriorating morale, with employees noting the company 'had so much promise, now it's a joke' and staff 'hanging on for severance packages' [2]. CEO turnover (Trenary stepped down December 2024, Kenyon interim, Jahr appointed 2025) signals instability. Insider Buying (1/2): New CEO Bob Jahr received 800,000 stock options, providing some alignment, but the frequent leadership changes suggest low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Outlook Therapeutics is in severe financial distress. Cash of $8.7M as of December 2025 is critically low for a company burning through cash at its rate, necessitating a $5M public offering and $18.4M non-convertible note financing in March 2026 [1]. Market cap of just $21.5M reflects near-terminal valuation. No meaningful revenue, profit margin of 0%, and no path to profitability without US FDA approval. Forward P/E of -0.75x confirms deep unprofitability. D/E and ROE data unavailable due to the distressed balance sheet. The stock trades at $0.21, down from SMA-50 of $0.40, indicating continued deterioration. Liquidity floor barely cleared: 5.0M avg vol x $0.21 = $1.06M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Outlook Therapeutics exhibits finite game characteristics — fighting for short-term survival through dilutive financings, CEO turnover, and a single-product strategy dependent on a regulatory approval that has been denied. The company is playing to not lose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Providing affordable ophthalmic bevacizumab to address the unmet need in retinal disease treatment is a legitimate just cause — off-label bevacizumab use is widespread but lacks an approved ophthalmic formulation [1]. However, the FDA rejection of the NORSE EIGHT trial raises questions about whether this specific product can fulfill the mission, and the company's survival focus overshadows purpose-driven decision-making.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paint a picture of eroded trust, with employees describing the company as having lost its promise and staff waiting for severance [2]. Three CEO transitions in 18 months (Trenary out December 2024, Kenyon interim, Jahr appointed) create leadership instability that undermines team cohesion. With only 17 employees, any leadership disruption has outsized cultural impact.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Outlook Therapeutics competes against Roche/Genentech (Lucentis), Regeneron (Eylea), and multiple biosimilar developers in the anti-VEGF space. The company has not demonstrated an ability to learn from or respond effectively to these rivals — the FDA rejection puts it further behind competitors who already have approved products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is entirely dependent on a single product (LYTENAVA) with no pipeline diversification. The failed US approval has not triggered a strategic pivot — instead, the company is pursuing European commercialization and incremental financings while hoping to resolve FDA concerns. No evidence of the kind of bold strategic reimagination that the situation demands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Bob Jahr brings commercial experience from Sobi and Amgen, but the repeated leadership transitions and reliance on dilutive financings ($5M offering, $18.4M notes in March 2026 alone) reflect survival management rather than courageous leadership [1]. The decision to continue pursuing the same product without meaningful strategic diversification could be seen as either conviction or stubbornness.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Outlook Therapeutics is a speculative clinical-stage biotech trading at $0.21 with a $21.5M market cap, offering extreme upside if it can resolve FDA concerns for LYTENAVA (bevacizumab gamma) in the multi-billion-dollar wet AMD market [1]. European LYTENAVA unit sales more than doubled QoQ in Q1 FY2026, validating commercial demand, and planned launches in Ireland, Netherlands (2026) and France, Italy, Spain (2027) expand the European opportunity [1]. Analyst price targets range from $0.50 to $10.00 with an average of $3.83, implying 18x upside from current levels. New CEO Bob Jahr brings two decades of biopharma commercial experience from Sobi and Amgen [2].</w:t>
      </w:r>
    </w:p>
    <w:p>
      <w:pPr>
        <w:spacing w:after="120"/>
      </w:pPr>
      <w:r>
        <w:rPr>
          <w:rFonts w:ascii="Calibri" w:hAnsi="Calibri"/>
          <w:b w:val="0"/>
          <w:color w:val="3A4A28"/>
          <w:sz w:val="20"/>
        </w:rPr>
        <w:t>The bear case is overwhelming. The FDA's August 2025 Complete Response Letter cited failure to meet the primary efficacy endpoint in NORSE EIGHT, a fundamental scientific concern that is far more difficult to resolve than manufacturing issues [2]. Cash of $8.7M with ongoing losses of $50-100M annually creates existential dilution risk — the March 2026 $5M offering and $18.4M note financing demonstrate continuous shareholder dilution [1]. Three CEO transitions in 18 months signal organizational dysfunction. The stock has declined from $0.40 SMA-50 to $0.21, and the $21.5M market cap suggests the market assigns near-zero probability to successful US commercialization. Sustainalytics rates ESG management as 'Weak' with 'Severe' overall risk [3]. Without FDA approval, the European-only commercialization runway cannot sustain the company's burn rate, making further dilution inevitable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European LYTENAVA unit sales doubling QoQ with planned expansion to Ireland, Netherlands (2026) and France, Italy, Spain (2027) [1]</w:t>
      </w:r>
    </w:p>
    <w:p>
      <w:pPr>
        <w:spacing w:before="40" w:after="40"/>
        <w:ind w:left="283"/>
      </w:pPr>
      <w:r>
        <w:rPr>
          <w:rFonts w:ascii="Calibri" w:hAnsi="Calibri"/>
          <w:b/>
          <w:color w:val="4A6B25"/>
          <w:sz w:val="20"/>
        </w:rPr>
        <w:t xml:space="preserve">2. </w:t>
      </w:r>
      <w:r>
        <w:rPr>
          <w:rFonts w:ascii="Calibri" w:hAnsi="Calibri"/>
          <w:b w:val="0"/>
          <w:color w:val="3A4A28"/>
          <w:sz w:val="20"/>
        </w:rPr>
        <w:t>Potential FDA resubmission pathway if efficacy concerns from NORSE EIGHT can be addressed through additional data or trial design [2]</w:t>
      </w:r>
    </w:p>
    <w:p>
      <w:pPr>
        <w:spacing w:before="40" w:after="40"/>
        <w:ind w:left="283"/>
      </w:pPr>
      <w:r>
        <w:rPr>
          <w:rFonts w:ascii="Calibri" w:hAnsi="Calibri"/>
          <w:b/>
          <w:color w:val="4A6B25"/>
          <w:sz w:val="20"/>
        </w:rPr>
        <w:t xml:space="preserve">3. </w:t>
      </w:r>
      <w:r>
        <w:rPr>
          <w:rFonts w:ascii="Calibri" w:hAnsi="Calibri"/>
          <w:b w:val="0"/>
          <w:color w:val="3A4A28"/>
          <w:sz w:val="20"/>
        </w:rPr>
        <w:t>New CEO Bob Jahr's commercial biopharma experience may improve execution on European launch and potential partner/acquirer discussions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Complete Response Letter citing efficacy endpoint failure in NORSE EIGHT — the most difficult regulatory hurdle to overcome, potentially requiring a new clinical trial [2]</w:t>
      </w:r>
    </w:p>
    <w:p>
      <w:pPr>
        <w:spacing w:before="40" w:after="40"/>
        <w:ind w:left="283"/>
      </w:pPr>
      <w:r>
        <w:rPr>
          <w:rFonts w:ascii="Calibri" w:hAnsi="Calibri"/>
          <w:b/>
          <w:color w:val="4A6B25"/>
          <w:sz w:val="20"/>
        </w:rPr>
        <w:t xml:space="preserve">2. </w:t>
      </w:r>
      <w:r>
        <w:rPr>
          <w:rFonts w:ascii="Calibri" w:hAnsi="Calibri"/>
          <w:b w:val="0"/>
          <w:color w:val="3A4A28"/>
          <w:sz w:val="20"/>
        </w:rPr>
        <w:t>Critical cash position of $8.7M with $50-100M annual burn rate, necessitating continuous dilutive financings that destroy shareholder value [1]</w:t>
      </w:r>
    </w:p>
    <w:p>
      <w:pPr>
        <w:spacing w:before="40" w:after="40"/>
        <w:ind w:left="283"/>
      </w:pPr>
      <w:r>
        <w:rPr>
          <w:rFonts w:ascii="Calibri" w:hAnsi="Calibri"/>
          <w:b/>
          <w:color w:val="4A6B25"/>
          <w:sz w:val="20"/>
        </w:rPr>
        <w:t xml:space="preserve">3. </w:t>
      </w:r>
      <w:r>
        <w:rPr>
          <w:rFonts w:ascii="Calibri" w:hAnsi="Calibri"/>
          <w:b w:val="0"/>
          <w:color w:val="3A4A28"/>
          <w:sz w:val="20"/>
        </w:rPr>
        <w:t>Three CEO transitions in 18 months and Glassdoor reviews describing organizational dysfunction, eroding execution capability at a critical commercialization stage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Outlook Therapeutics operates in ophthalmic biologics, a sector where AI disruption risk is indirect. AI cannot replace the need for injectable anti-VEGF treatments for wet AMD patients, providing some insulation. However, AI is accelerating competitor drug discovery and clinical trial optimization, which could enable larger pharma companies to develop superior biosimilar or next-generation treatments faster [2]. The company's single-product focus with no AI capabilities leaves it unable to leverage AI for competitive advantage. AI Opportunity (1/1): AI-driven clinical trial design could theoretically help Outlook redesign its FDA submission strategy, though the company's limited resources make meaningful AI adoption unlikely.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Outlook Therapeutics Q1 FY2026 Earnings Release — LYTENAVA unit sales doubling, $8.7M cash, March 2026 financing,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CEO transitions (Trenary/Kenyon/Jahr), FDA Complete Response Letter, ainvest.com analysis, 2024-2026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rating — Weak management, Severe overall risk; Yahoo Finance sustainability data,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OTLK (Outlook Therapeutics),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