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OUT</w:t>
      </w:r>
      <w:r>
        <w:rPr>
          <w:rFonts w:ascii="Calibri" w:hAnsi="Calibri"/>
          <w:b/>
          <w:color w:val="1A2010"/>
          <w:sz w:val="40"/>
        </w:rPr>
        <w:t xml:space="preserve">  OUTFRONT Media Inc.</w:t>
      </w:r>
    </w:p>
    <w:p>
      <w:pPr>
        <w:spacing w:after="120"/>
      </w:pPr>
      <w:r>
        <w:rPr>
          <w:rFonts w:ascii="Calibri" w:hAnsi="Calibri"/>
          <w:b/>
          <w:color w:val="6E8450"/>
          <w:sz w:val="18"/>
        </w:rPr>
        <w:t>DIVIDEND SLEEVE · 2026-04-27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OUTFRONT Media Inc. is one of the largest out-of-home (OOH) media companies in the U.S., operating billboards, digital displays, and transit advertising systems. The company helps brands connect with audiences through physical advertising formats across a nationwide footprint. OUTFRONT operates as a REIT and was incorporated in 2013.</w:t>
      </w:r>
    </w:p>
    <w:p>
      <w:r>
        <w:rPr>
          <w:rFonts w:ascii="Calibri" w:hAnsi="Calibri"/>
          <w:b/>
          <w:color w:val="6E8450"/>
          <w:sz w:val="18"/>
        </w:rPr>
        <w:t>1,981 Employees · https://www.outfrontmedia.com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$513.3M beat expectations by 1.4% with EPS of $0.55, beating forecasts by nearly 20% [1]. However, overall revenue growth is modest at 4.1% YoY, and the company exited New York and Los Angeles billboard contracts that mask stronger underlying digital growth [1]. AI Deployment (1/2): XLabs innovation team and OUTFRONT STUDIOS leverage data-driven targeting and programmatic buying for digital OOH placements, but the company is acknowledged internally as 'not technology focused' per employee reviews [2]. Market Share (2/2): OUTFRONT is one of the two largest OOH operators in the U.S. alongside Lamar Advertising, with dominant transit advertising positions including the New York MTA system. Pipeline (1/2): Digital revenue growth exceeded 16% excluding exited contracts, and management guides high-single-digit Q1 2026 revenue growth with 'comfortably double-digit' AFFO growth for full-year 2026 [1]. R&amp;D Intensity (0/1): Minimal formal R&amp;D investment; innovation is incremental rather than transformational.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OUTFRONT's mission of 'defining a new era of in-real-life marketing' is functional but narrowly commercial — connecting brands with audiences in public spaces lacks deeper societal purpose [3]. Community Impact (1/2): The company employs 1,981 people and operates advertising infrastructure in public transit systems that provides revenue to municipal transit agencies, indirectly supporting public transportation [3]. Employee Retention (1/2): Glassdoor ratings show 3.6/5.0 for culture and values and 3.7/5.0 for work-life balance, but only 3.2/5.0 for career opportunities; employee reviews note resistance to change and insufficient focus on training [2]. Insider Buying (1/2): New CEO Nick Brien, appointed permanently in 2025 after serving as interim CEO, brings four decades of advertising and adtech experience from Amobee and Dentsu, signaling board commitment to strategic transformation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OUTFRONT's financial profile reflects a leveraged REIT model with concerning payout sustainability. D/E of 562.9% is extremely elevated, and the payout ratio of 146.3% exceeds net income, meaning the dividend is being funded from AFFO rather than GAAP earnings — typical for REITs but a risk signal [4]. ROE of 19.4% is adequate and profit margin of 8.0% is thin for a media company. Forward P/E of 23.9x with PEG of 0.39 suggests the market expects strong earnings acceleration. Revenue growth of 4.1% YoY is modest, though management guides to double-digit AFFO growth for 2026 [1]. Gross margin of 49.9% and operating margin of 25.1% demonstrate reasonable operating leverage. Dividend yield of 4.0% ($1.20 annualized) provides income but sustainability depends on continued AFFO growth. Liquidity floor cleared: 1.45M avg volume × $30.02 = $43.5M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OUTFRONT plays a mixed game — the company benefits from long-term transit advertising contracts (10-20 year MTA deals) that create an infinite-game structure, but CEO turnover, a leveraged balance sheet, and dependence on cyclical advertising spending introduce finite-game pressures. The appointment of Nick Brien signals a strategic reset.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OUTFRONT's cause of connecting brands with real-world audiences serves a commercial function but lacks the aspirational dimension that drives truly infinite organizations [3]. The company's role in supporting municipal transit revenue through advertising partnerships provides modest societal purpose. The 'new era of IRL marketing' positioning is a competitive differentiator more than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culture rating of 3.6/5.0 indicates acceptable but not exceptional team trust [2]. Employee reviews praise senior executive care for staff welfare and compensation, but note resistance to change and insufficient training investment. The CEO transition from Jeremy Male to Nick Brien (interim then permanent in 2025) introduces organizational uncertainty during a critical strategic pivot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OUTFRONT competes directly with Lamar Advertising and Clear Channel Outdoor in OOH, and more broadly with digital advertising platforms (Google, Meta) for ad dollars [1]. The rivalry with digital has pushed OUTFRONT to accelerate digital OOH conversion (16% digital revenue growth ex-exits) and invest in programmatic capabilities. This competitive pressure is driving meaningful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OUTFRONT has shown incremental flexibility by converting static billboards to digital formats and expanding programmatic OOH capabilities, but the core business model remains fundamentally unchanged from traditional billboard advertising [1]. The exit of New York and LA billboard contracts shows willingness to rationalize the portfolio, though these were forced by contract losses rather than strategic choice.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appoint Nick Brien — a digital-native executive from Amobee and Dentsu — as CEO signals courage to pivot toward technology-driven OOH [2]. However, maintaining a 146% payout ratio while carrying 562% D/E reflects a prioritization of dividend maintenance over balance sheet strength that could constrain future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OUTFRONT Media is one of the two largest U.S. out-of-home advertising companies, offering a 4.0% dividend yield with improving operating momentum — Q4 2025 EPS of $0.55 beat forecasts by 20%, and digital OOH revenue grew 16% excluding exited contracts [1]. The company guides to high-single-digit Q1 2026 revenue growth and 'comfortably double-digit' AFFO growth for the full year, supported by secular tailwinds from the 2026 FIFA World Cup, election-year political advertising, and continued digital conversion [1]. New CEO Nick Brien brings four decades of advertising and adtech expertise, positioning OUTFRONT for a technology-driven transformation [2]. The physical nature of OOH advertising provides a natural moat against AI-driven digital advertising disruption. At a PEG of 0.39, the stock appears undervalued relative to expected earnings growth if management executes on the digital transformation roadmap.</w:t>
      </w:r>
    </w:p>
    <w:p>
      <w:pPr>
        <w:spacing w:after="120"/>
      </w:pPr>
      <w:r>
        <w:rPr>
          <w:rFonts w:ascii="Calibri" w:hAnsi="Calibri"/>
          <w:b w:val="0"/>
          <w:color w:val="3A4A28"/>
          <w:sz w:val="20"/>
        </w:rPr>
        <w:t>The bear case centers on OUTFRONT's financial fragility and structural challenges. A payout ratio of 146% means the REIT dividend exceeds GAAP earnings and depends on AFFO sustainability — any revenue downturn could force a dividend cut [4]. D/E of 562.9% creates significant leverage risk in a rising rate environment, and the 8.0% profit margin provides thin cushion for economic downturns. Revenue growth of only 4.1% is modest for a company trading at 36.6x trailing earnings [4]. The loss of New York and LA billboard contracts demonstrates competitive vulnerability in key markets. OOH advertising is inherently cyclical — a recession would compress advertising budgets with billboards cut before digital. The company's own employees describe it as 'not technology focused,' raising execution risk on the digital transformation that the investment thesis requires [2]. Competition from Lamar Advertising (larger and more profitable) and digital platforms (Google, Meta) pressures market share and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AFFO growth guided to 'comfortably double-digit,' driven by digital OOH conversion and transit revenue improvement including 56% transit adjusted OIBDA growth [1]</w:t>
      </w:r>
    </w:p>
    <w:p>
      <w:pPr>
        <w:spacing w:before="40" w:after="40"/>
        <w:ind w:left="283"/>
      </w:pPr>
      <w:r>
        <w:rPr>
          <w:rFonts w:ascii="Calibri" w:hAnsi="Calibri"/>
          <w:b/>
          <w:color w:val="4A6B25"/>
          <w:sz w:val="20"/>
        </w:rPr>
        <w:t xml:space="preserve">2. </w:t>
      </w:r>
      <w:r>
        <w:rPr>
          <w:rFonts w:ascii="Calibri" w:hAnsi="Calibri"/>
          <w:b w:val="0"/>
          <w:color w:val="3A4A28"/>
          <w:sz w:val="20"/>
        </w:rPr>
        <w:t>2026 FIFA World Cup and election-year political advertising expected to drive significant incremental OOH demand across OUTFRONT's national footprint [1]</w:t>
      </w:r>
    </w:p>
    <w:p>
      <w:pPr>
        <w:spacing w:before="40" w:after="40"/>
        <w:ind w:left="283"/>
      </w:pPr>
      <w:r>
        <w:rPr>
          <w:rFonts w:ascii="Calibri" w:hAnsi="Calibri"/>
          <w:b/>
          <w:color w:val="4A6B25"/>
          <w:sz w:val="20"/>
        </w:rPr>
        <w:t xml:space="preserve">3. </w:t>
      </w:r>
      <w:r>
        <w:rPr>
          <w:rFonts w:ascii="Calibri" w:hAnsi="Calibri"/>
          <w:b w:val="0"/>
          <w:color w:val="3A4A28"/>
          <w:sz w:val="20"/>
        </w:rPr>
        <w:t>CEO Nick Brien's digital-native background catalyzing technology transformation through programmatic OOH, XLabs innovation, and data-driven targeting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146% payout ratio — dividend of $1.20/share exceeds GAAP EPS of $0.82, creating cut risk if AFFO growth disappoints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562.9% D/E with thin 8.0% profit margin provides minimal cushion against an advertising recession or rising interest rates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digital transformation — employee feedback indicates the company is 'not technology focused' and resistant to change, challenging CEO Brien's tech-driven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Out-of-home advertising occupies a unique physical medium that AI cannot directly replicate — billboards, transit displays, and digital screens reach consumers in the real world where AI-generated digital ads cannot follow [2]. This physical moat provides baseline protection. However, AI-driven programmatic digital advertising threatens to divert ad budgets by offering superior targeting and measurement capabilities that OOH struggles to match. OUTFRONT's data tools and XLabs provide some AI-augmented targeting for digital OOH, but the company is acknowledged as 'not technology focused' by employees [2]. Transit advertising contracts with municipal agencies provide structural revenue protection independent of AI shifts. AI Opportunity (1/1): AI-powered programmatic buying and dynamic creative optimization for digital OOH displays represent a modest opportunity to improve yield per screen and attract digitally-native advertisers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OUTFRONT Media Q4 2025 Earnings Release — $513.3M revenue, $0.55 EPS, high-single-digit Q1 2026 revenue growth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OUTFRONT Media CEO appointment — Nick Brien named CEO, Glassdoor/Comparably employee reviews, PR Newswire, 2025</w:t>
      </w:r>
    </w:p>
    <w:p>
      <w:pPr>
        <w:spacing w:before="20" w:after="20"/>
        <w:ind w:left="170"/>
      </w:pPr>
      <w:r>
        <w:rPr>
          <w:rFonts w:ascii="Calibri" w:hAnsi="Calibri"/>
          <w:b/>
          <w:color w:val="4A6B25"/>
          <w:sz w:val="15"/>
        </w:rPr>
        <w:t xml:space="preserve">3. </w:t>
      </w:r>
      <w:r>
        <w:rPr>
          <w:rFonts w:ascii="Calibri" w:hAnsi="Calibri"/>
          <w:b w:val="0"/>
          <w:color w:val="3A4A28"/>
          <w:sz w:val="17"/>
        </w:rPr>
        <w:t>OUTFRONT Media ESG Report 2024 — Environmental, Social, and Governance strategy and performance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OUT (OUTFRONT Media),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