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OWL</w:t>
      </w:r>
      <w:r>
        <w:rPr>
          <w:rFonts w:ascii="Calibri" w:hAnsi="Calibri"/>
          <w:b/>
          <w:color w:val="1A2010"/>
          <w:sz w:val="40"/>
        </w:rPr>
        <w:t xml:space="preserve">  Blue Owl Capital Inc.</w:t>
      </w:r>
    </w:p>
    <w:p>
      <w:pPr>
        <w:spacing w:after="120"/>
      </w:pPr>
      <w:r>
        <w:rPr>
          <w:rFonts w:ascii="Calibri" w:hAnsi="Calibri"/>
          <w:b/>
          <w:color w:val="6E8450"/>
          <w:sz w:val="18"/>
        </w:rPr>
        <w:t>DIVIDEND SLEEVE · 2026-05-12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Blue Owl Capital is an alternative asset manager with $315 billion in AUM, offering permanent capital base solutions across GP Strategic Capital, Real Estate, Credit, and Digital Infrastructure strategies. The firm provides holistic capital solutions to middle-market companies and financial sponsors.</w:t>
      </w:r>
    </w:p>
    <w:p>
      <w:r>
        <w:rPr>
          <w:rFonts w:ascii="Calibri" w:hAnsi="Calibri"/>
          <w:b/>
          <w:color w:val="6E8450"/>
          <w:sz w:val="18"/>
        </w:rPr>
        <w:t>1,390 Employees · https://www.blueowl.com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scores 2/3 — Blue Owl has successfully scaled from its 2021 IPO to $315B in AUM through strategic acquisitions and organic growth, and its $7B Digital Infrastructure Fund III (closed significantly above the $4B target) positions the firm at the intersection of AI and private credit [1][2]. AI Deployment scores 1/2 — the firm is deploying capital into AI infrastructure through its $15B Crusoe data center joint venture and digital infrastructure platform, but AI is an investment theme rather than an operational product [2]. Market Share Leadership scores 1/2 — Blue Owl is a meaningful player in alternative asset management but competes against larger incumbents like Blackstone, Apollo, and KKR. Product Pipeline scores 1/2 — the digital infrastructure platform and expanded credit strategies represent clear growth vectors with specific fund targets [1]. R&amp;D Intensity scores 1/1 — above-average innovation in product structuring for private wealth distribution channels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scores 2/4 — Blue Owl's positioning around 'permanent capital solutions' is functional and industry-specific but not distinctive or purpose-driven beyond profit [3]. Community &amp; Charitable Impact scores 1/2 — the firm has ESG integration in investment processes and sustainability reporting, but no standout charitable programs or community investment cited [3]. Employee Retention scores 1/2 — Glassdoor rating of 4.4/5 with 80% recommending the company and 4.2 for culture/values suggests above-average employee satisfaction, though some reviews cite favoritism and leadership disconnect [2]. Insider Buying scores 1/2 — co-CEOs Doug Ostrover and Marc Lipschultz co-founded the firm and maintain significant equity alignment, but no specific recent net buying data available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12 dividend weight units. Strengths: Forward P/E of 10.0x (1.0/1.0) reflects strong earnings growth expectations with forward EPS of $1.00 versus trailing $0.12, D/E of 75% near the 70% target (0.98/1.0), revenue growth of 10.3% YoY hits the target (1.0/1.0), and strong multi-year revenue CAGR since IPO (1.0/1.0) [1]. Estimated dividend growth CAGR of ~15% earns full marks (1.0/1.0 at 2x weight). Weaknesses: GAAP payout ratio of 750% (0.0/1.0) reflects massive amortization of acquisition intangibles depressing reported earnings — distributable earnings cover the dividend more sustainably [1]. Profit margin of 3.0% on GAAP basis (0.15/1.0) and ROE of 5.7% (0.38/1.0) are similarly distorted by intangible amortization. Only 5 years of consecutive dividends paid (0.5/1.0 at 2x weight) reflects the firm's 2021 IPO vintage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Blue Owl demonstrates elements of infinite thinking through its permanent capital model and long-duration fund structures, but the recent liquidity crisis — halting redemptions and cutting the dividend under AI-driven panic — reveals finite-game vulnerabilities. The co-founder leadership provides strategic continuity, but the firm's aggressive growth-through-acquisition strategy and fee optimization focus suggest a 'win now' orientation [1][2].</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Blue Owl's positioning around 'permanent capital solutions for the middle market' describes a business model, not a Just Cause [3]. The firm's rapid growth through serial acquisitions (Dyal Capital, Oak Street, Atalaya Capital) and aggressive AUM scaling to $315B suggest a strategy oriented toward market share dominance rather than advancing an enduring vision of a better future. Sinek would note the absence of any purpose beyond asset gathering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present a mixed picture — 4.4/5 overall rating and 80% recommendation rate suggest adequate trust, but reviews citing 'toxic culture,' 'lots of favoritism,' and leadership taking a 'business first approach rather than investing in resources for employees' undermine the trust narrative [2]. CEO Doug Ostrover's 98% approval rating is strong, but the contrast with culture critiques suggests a top-down dynamic rather than the bottom-up psychological safety Sinek requires.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Blue Owl competes with Blackstone, Apollo, KKR, and Ares in alternative asset management. The firm's differentiation through permanent capital structures and its joint statement with Blackstone and Ares on software AI risk suggests some collaborative competitive awareness rather than purely adversarial positioning [2]. Management frames growth opportunities in terms of market expansion rather than competitor destruction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Blue Owl has shown tactical flexibility by pivoting aggressively into digital infrastructure and AI data center investments with the $7B Fund III and $15B Crusoe joint venture [2]. However, the firm is only 5 years old — it has not faced the kind of existential test that Sinek's framework requires. The ongoing software lending crisis and redemption halt represent the firm's first real stress test, and the response (restricting withdrawals) is defensive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Blue Owl's decision to halt redemptions and cut the dividend from $0.37 to $0.31 in Q1 2026 shows some willingness to make painful near-term decisions [1]. However, these were forced by circumstances (40% redemption requests, unsustainable payout ratio) rather than proactive long-term investment choices. The firm's stated commitment to 'working down' software exposure represents reactive risk management, not the forward-looking courage Sinek values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Blue Owl Capital manages $315B in AUM with Q1 2026 revenues of $753.8M (up 13% YoY), fee-related earnings of $393.6M (up 14%), and FRE margins expanding to 58.4% [1]. The firm's permanent capital model generates predictable management fees, and $29.9B of AUM not yet paying fees represents ~$349M in annualized fee upside once deployed. The $7B Digital Infrastructure Fund III and $15B Crusoe data center joint venture position Blue Owl as a beneficiary of AI infrastructure spending [2].</w:t>
      </w:r>
    </w:p>
    <w:p>
      <w:pPr>
        <w:spacing w:after="120"/>
      </w:pPr>
      <w:r>
        <w:rPr>
          <w:rFonts w:ascii="Calibri" w:hAnsi="Calibri"/>
          <w:b w:val="0"/>
          <w:color w:val="3A4A28"/>
          <w:sz w:val="20"/>
        </w:rPr>
        <w:t>The bear case is severe and immediate: AI disruption fears triggered a $5.4B redemption surge, forced the firm to halt withdrawals at Blue Owl Capital Corporation II, and resulted in a dividend cut from $0.37 to $0.31 per share [1][2]. Bloomberg described shares as near 'doomsday levels' ahead of Q1 earnings. The GAAP payout ratio of 750% (distorted by intangible amortization) and trailing profit margin of 3% obscure the underlying economics, but the gap between GAAP and distributable earnings creates investor confusion. The stock at $10.08 ($6.8B market cap) with a 9.1% yield prices in significant distress — either the market is wrong about the software portfolio risk, or Blue Owl faces a prolonged de-rating of its asset management franchise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Deployment of $29.9B in AUM not yet paying fees, which would add ~$349M in annualized management fee revenue once fee holidays expire [1]</w:t>
      </w:r>
    </w:p>
    <w:p>
      <w:pPr>
        <w:spacing w:before="40" w:after="40"/>
        <w:ind w:left="283"/>
      </w:pPr>
      <w:r>
        <w:rPr>
          <w:rFonts w:ascii="Calibri" w:hAnsi="Calibri"/>
          <w:b/>
          <w:color w:val="4A6B25"/>
          <w:sz w:val="20"/>
        </w:rPr>
        <w:t xml:space="preserve">2. </w:t>
      </w:r>
      <w:r>
        <w:rPr>
          <w:rFonts w:ascii="Calibri" w:hAnsi="Calibri"/>
          <w:b w:val="0"/>
          <w:color w:val="3A4A28"/>
          <w:sz w:val="20"/>
        </w:rPr>
        <w:t>Digital Infrastructure Fund III ($7B) and Crusoe data center JV ($15B) generating carried interest and management fees from AI infrastructure tailwinds [2]</w:t>
      </w:r>
    </w:p>
    <w:p>
      <w:pPr>
        <w:spacing w:before="40" w:after="40"/>
        <w:ind w:left="283"/>
      </w:pPr>
      <w:r>
        <w:rPr>
          <w:rFonts w:ascii="Calibri" w:hAnsi="Calibri"/>
          <w:b/>
          <w:color w:val="4A6B25"/>
          <w:sz w:val="20"/>
        </w:rPr>
        <w:t xml:space="preserve">3. </w:t>
      </w:r>
      <w:r>
        <w:rPr>
          <w:rFonts w:ascii="Calibri" w:hAnsi="Calibri"/>
          <w:b w:val="0"/>
          <w:color w:val="3A4A28"/>
          <w:sz w:val="20"/>
        </w:rPr>
        <w:t>Resolution of software portfolio AI fears — if AI disruption proves limited (as Blue Owl, Blackstone, and Ares jointly stated), the 9.1% yield and 10x forward P/E represent significant re-rating potential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risk to the ~8% software lending portfolio could accelerate credit losses and trigger further redemption waves beyond the $5.4B already requested [2]</w:t>
      </w:r>
    </w:p>
    <w:p>
      <w:pPr>
        <w:spacing w:before="40" w:after="40"/>
        <w:ind w:left="283"/>
      </w:pPr>
      <w:r>
        <w:rPr>
          <w:rFonts w:ascii="Calibri" w:hAnsi="Calibri"/>
          <w:b/>
          <w:color w:val="4A6B25"/>
          <w:sz w:val="20"/>
        </w:rPr>
        <w:t xml:space="preserve">2. </w:t>
      </w:r>
      <w:r>
        <w:rPr>
          <w:rFonts w:ascii="Calibri" w:hAnsi="Calibri"/>
          <w:b w:val="0"/>
          <w:color w:val="3A4A28"/>
          <w:sz w:val="20"/>
        </w:rPr>
        <w:t>Forced redemption caps and dividend cuts erode investor confidence in Blue Owl's permanent capital model — the firm's core value proposition of stable, long-duration capital is being tested [1]</w:t>
      </w:r>
    </w:p>
    <w:p>
      <w:pPr>
        <w:spacing w:before="40" w:after="40"/>
        <w:ind w:left="283"/>
      </w:pPr>
      <w:r>
        <w:rPr>
          <w:rFonts w:ascii="Calibri" w:hAnsi="Calibri"/>
          <w:b/>
          <w:color w:val="4A6B25"/>
          <w:sz w:val="20"/>
        </w:rPr>
        <w:t xml:space="preserve">3. </w:t>
      </w:r>
      <w:r>
        <w:rPr>
          <w:rFonts w:ascii="Calibri" w:hAnsi="Calibri"/>
          <w:b w:val="0"/>
          <w:color w:val="3A4A28"/>
          <w:sz w:val="20"/>
        </w:rPr>
        <w:t>GAAP payout ratio of 750% and trailing profit margin of 3% create fundamental confusion about Blue Owl's true earnings power, deterring institutional investors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scores 4/9 (EXPOSED) — Blue Owl faces significant AI disruption risk through its ~8% software portfolio exposure within $300B+ AUM, which triggered a $5.4B redemption surge in Q1 2026, forced 5% quarterly liquidity caps on key funds, and caused Bloomberg to describe shares as near 'doomsday levels' [2]. The firm halted redemptions at Blue Owl Capital Corporation II and cut its Q2 2026 dividend from $0.37 to $0.31 per share. While Blue Owl, Blackstone, and Ares jointly stated their software portfolios face 'limited AI disruption,' the market's response — 40% redemption requests and forced liquidity restrictions — indicates real substitution risk in the credit portfolio [2]. AI Opportunity scores 1/1 — Blue Owl's $7B Digital Infrastructure Fund III and $15B Crusoe data center joint venture position the firm to benefit from AI infrastructure spending, generating meaningful fee revenue from AI-adjacent investments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Blue Owl Capital Q1 2026 Earnings Release — ir.blueowl.com, April 2026</w:t>
      </w:r>
    </w:p>
    <w:p>
      <w:pPr>
        <w:spacing w:before="20" w:after="20"/>
        <w:ind w:left="170"/>
      </w:pPr>
      <w:r>
        <w:rPr>
          <w:rFonts w:ascii="Calibri" w:hAnsi="Calibri"/>
          <w:b/>
          <w:color w:val="4A6B25"/>
          <w:sz w:val="15"/>
        </w:rPr>
        <w:t xml:space="preserve">2. </w:t>
      </w:r>
      <w:r>
        <w:rPr>
          <w:rFonts w:ascii="Calibri" w:hAnsi="Calibri"/>
          <w:b w:val="0"/>
          <w:color w:val="3A4A28"/>
          <w:sz w:val="17"/>
        </w:rPr>
        <w:t>Blue Owl Capital AI disruption, redemption crisis, and digital infrastructure strategy — Bloomberg, Yahoo Finance, Seeking Alpha, Data Center Frontier, 2025-2026</w:t>
      </w:r>
    </w:p>
    <w:p>
      <w:pPr>
        <w:spacing w:before="20" w:after="20"/>
        <w:ind w:left="170"/>
      </w:pPr>
      <w:r>
        <w:rPr>
          <w:rFonts w:ascii="Calibri" w:hAnsi="Calibri"/>
          <w:b/>
          <w:color w:val="4A6B25"/>
          <w:sz w:val="15"/>
        </w:rPr>
        <w:t xml:space="preserve">3. </w:t>
      </w:r>
      <w:r>
        <w:rPr>
          <w:rFonts w:ascii="Calibri" w:hAnsi="Calibri"/>
          <w:b w:val="0"/>
          <w:color w:val="3A4A28"/>
          <w:sz w:val="17"/>
        </w:rPr>
        <w:t>Blue Owl Capital Sustainability and ESG Reports — blueowl.com,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