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OXLC</w:t>
      </w:r>
      <w:r>
        <w:rPr>
          <w:rFonts w:ascii="Calibri" w:hAnsi="Calibri"/>
          <w:b/>
          <w:color w:val="1A2010"/>
          <w:sz w:val="40"/>
        </w:rPr>
        <w:t xml:space="preserve">  Oxford Lane Capital Corp.</w:t>
      </w:r>
    </w:p>
    <w:p>
      <w:pPr>
        <w:spacing w:after="120"/>
      </w:pPr>
      <w:r>
        <w:rPr>
          <w:rFonts w:ascii="Calibri" w:hAnsi="Calibri"/>
          <w:b/>
          <w:color w:val="6E8450"/>
          <w:sz w:val="18"/>
        </w:rPr>
        <w:t>DIVIDEND SLEEVE · 2026-04-19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Oxford Lane Capital Corp. is a publicly-traded closed-end management investment company registered under the Investment Company Act of 1940. The company seeks attractive risk-adjusted total returns by investing primarily in debt and equity tranches of CLO (collateralized loan obligation) vehicles collateralized by diversified portfolios of senior secured loans.</w:t>
      </w:r>
    </w:p>
    <w:p>
      <w:r>
        <w:rPr>
          <w:rFonts w:ascii="Calibri" w:hAnsi="Calibri"/>
          <w:b/>
          <w:color w:val="6E8450"/>
          <w:sz w:val="18"/>
        </w:rPr>
        <w:t>https://www.oxfordlanecapital.com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Oxford Lane has not launched new products or executed meaningful business model pivots in recent years — it remains a single-strategy CLO equity and debt fund with no diversification into adjacent asset classes [1]. AI Deployment (0/2): No AI-powered products or reported AI-driven cost savings; the firm is a small externally-managed investment vehicle with minimal operational complexity [2]. Market Share (1/2): OXLC is one of the largest publicly-traded CLO-focused funds with approximately $1B market cap and $263M in newly acquired CLO equity awaiting first distributions, giving it meaningful scale in a niche market [1]. Pipeline (0/2): No next-generation product announcements; the strategy remains static CLO equity accumulation with extended reinvestment periods averaging August 2029 [1]. R&amp;D Intensity (1/1): While there is no traditional R&amp;D, the firm's active CLO portfolio management — participating in over 10 reset and refinancing transactions in Q3 FY2026 — demonstrates analytical intensity above passive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Oxford Lane's stated purpose is to 'achieve an attractive risk-adjusted total return' — a purely financial objective interchangeable with any investment fund, offering no articulation of broader purpose or societal impact [2]. Community Impact (0/2): No evidence of charitable programs, foundation, or community investment initiatives; the firm is externally managed with effectively zero employees [2]. Employee Retention (0/2): As an externally managed closed-end fund, OXLC has no traditional employees; management is provided by Oxford Lane Management LLC, making retention metrics inapplicable [2]. Insider Buying (1/2): CEO Jonathan Cohen and management have historically maintained equity positions in the fund, though no significant net insider buying was identified in recent months amid the distribution cut and NAV decline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Oxford Lane's financial profile is mixed. Debt-to-equity of 37.8% is conservative and well below the 70% target [5]. However, ROE is essentially zero at 0.22% and profit margin is a razor-thin 0.77%, reflecting the Q3 FY2026 NAV decline from $19.19 to $15.51 per share [1]. Revenue growth YoY of 29.5% and forward P/E of 2.25x are strong, but the extremely low forward P/E reflects market skepticism about earnings sustainability [5]. The payout ratio near 96-105% historically forced a 50% distribution cut from $0.40 to $0.20/share monthly, resetting consecutive dividend growth years to zero [3]. OXLC has paid distributions since 2011 (~15 consecutive years), providing the strongest infrastructure component. Liquidity floor cleared: 1.96M avg vol × $10.00 = $19.6M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Oxford Lane Capital operates with a predominantly finite mindset — the firm exists to generate yield from CLO equity and return cash to shareholders, with no articulated vision beyond financial returns. The recent distribution cut from $0.40 to $0.20/share shows reactive capital management rather than proactive long-term positioning, though the stated goal of retaining capital for opportunistic CLO equity purchases during dislocations suggests some strategic foresight.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Oxford Lane has no Just Cause beyond generating income for shareholders through CLO investments [2]. The firm's purpose is entirely financial — 'achieve an attractive risk-adjusted total return' — with no vision of a better future or service to a broader purpose. This is a finite player by definition.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an externally managed fund with minimal direct employees, the trust dimension is difficult to assess [2]. The management team of Jonathan Cohen (CEO) and Saul Rosenthal (President) has been stable since inception, providing leadership continuity. However, the external management structure inherently creates potential conflicts of interest between the manager's fee incentives and shareholder returns.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Oxford Lane acknowledging competitors' strengths or using competitive dynamics for self-improvement [2]. The CLO fund space includes Eagle Point Credit (ECC) and other vehicles, but OXLC's communications focus on portfolio positioning and distributions rather than competitive learning. The firm operates with a finite competitive mindset focused on yield generation.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50% distribution cut from $0.40 to $0.20/share monthly represents meaningful flexibility — management chose to retain approximately 40% of core earnings to rebuild NAV and pursue opportunistic CLO equity purchases at discounts [1]. While painful for income-focused investors, this pivot toward capital preservation shows willingness to adapt. However, the core strategy has remained unchanged since inception — pure CLO investing with no diversification.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board's decision to cut distributions by 50% in early 2026, despite the stock trading at a premium to NAV and investors expecting high yield, required courage [1][3]. Management explicitly framed the reduced payout as capital retention for opportunistic investment during CLO market dislocations. However, the cut came after NAV declined from $19.19 to $15.51 — arguably a reactive rather than proactive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Oxford Lane Capital offers an exceptionally high current yield of approximately 24% through monthly distributions of $0.20/share, backed by a diversified portfolio of CLO equity and debt tranches [1][3]. The recent distribution cut from $0.40 to $0.20 retains roughly 40% of core net investment income ($1.12/share quarterly core NII) to rebuild NAV and pursue opportunistic CLO equity purchases at market dislocations [1]. The forward P/E of 2.25x suggests significant upside if earnings stabilize, and the extended weighted average reinvestment period to August 2029 provides cash flow visibility. Conservative leverage (D/E 37.8%) and $263M in newly acquired CLO equity awaiting first distributions provide a pipeline of future income [1].</w:t>
      </w:r>
    </w:p>
    <w:p>
      <w:pPr>
        <w:spacing w:after="120"/>
      </w:pPr>
      <w:r>
        <w:rPr>
          <w:rFonts w:ascii="Calibri" w:hAnsi="Calibri"/>
          <w:b w:val="0"/>
          <w:color w:val="3A4A28"/>
          <w:sz w:val="20"/>
        </w:rPr>
        <w:t>The bear case is significant: NAV declined sharply from $19.19 to $15.51 per share in Q3 FY2026 as CLO equity valuations fell amid credit spread widening and tariff-driven economic uncertainty [1]. The 50% distribution cut signals that prior payout levels were unsustainable, and the payout ratio near 96-105% historically suggests the fund was returning capital rather than income. GAAP NII fell to $0.16/share from $0.22 YoY while core NII declined from $0.41 to $0.29, revealing deteriorating underlying cash generation [1]. As a leveraged CLO equity vehicle, OXLC is highly sensitive to credit cycles — a recession or wave of leveraged loan defaults could devastate NAV further. The stock's premium to NAV (~$10 vs. estimated $13.48-$13.78 NAV) has compressed, and further NAV erosion could push the stock well below current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Deployment of $263M in newly acquired CLO equity awaiting first distributions, which could materially boost future core NII once cash flows begin [1]</w:t>
      </w:r>
    </w:p>
    <w:p>
      <w:pPr>
        <w:spacing w:before="40" w:after="40"/>
        <w:ind w:left="283"/>
      </w:pPr>
      <w:r>
        <w:rPr>
          <w:rFonts w:ascii="Calibri" w:hAnsi="Calibri"/>
          <w:b/>
          <w:color w:val="4A6B25"/>
          <w:sz w:val="20"/>
        </w:rPr>
        <w:t xml:space="preserve">2. </w:t>
      </w:r>
      <w:r>
        <w:rPr>
          <w:rFonts w:ascii="Calibri" w:hAnsi="Calibri"/>
          <w:b w:val="0"/>
          <w:color w:val="3A4A28"/>
          <w:sz w:val="20"/>
        </w:rPr>
        <w:t>Extended weighted average reinvestment period to August 2029 provides longer cash flow runway and potential for CLO equity appreciation as deals season [1]</w:t>
      </w:r>
    </w:p>
    <w:p>
      <w:pPr>
        <w:spacing w:before="40" w:after="40"/>
        <w:ind w:left="283"/>
      </w:pPr>
      <w:r>
        <w:rPr>
          <w:rFonts w:ascii="Calibri" w:hAnsi="Calibri"/>
          <w:b/>
          <w:color w:val="4A6B25"/>
          <w:sz w:val="20"/>
        </w:rPr>
        <w:t xml:space="preserve">3. </w:t>
      </w:r>
      <w:r>
        <w:rPr>
          <w:rFonts w:ascii="Calibri" w:hAnsi="Calibri"/>
          <w:b w:val="0"/>
          <w:color w:val="3A4A28"/>
          <w:sz w:val="20"/>
        </w:rPr>
        <w:t>Opportunistic CLO equity purchases at discounted valuations during credit market dislocations, enabled by retained earnings from the distribution cut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NAV erosion risk — CLO equity valuations are highly sensitive to credit spreads, leveraged loan default rates, and macroeconomic conditions; a recession could accelerate NAV declines from the current $15.51/share [1]</w:t>
      </w:r>
    </w:p>
    <w:p>
      <w:pPr>
        <w:spacing w:before="40" w:after="40"/>
        <w:ind w:left="283"/>
      </w:pPr>
      <w:r>
        <w:rPr>
          <w:rFonts w:ascii="Calibri" w:hAnsi="Calibri"/>
          <w:b/>
          <w:color w:val="4A6B25"/>
          <w:sz w:val="20"/>
        </w:rPr>
        <w:t xml:space="preserve">2. </w:t>
      </w:r>
      <w:r>
        <w:rPr>
          <w:rFonts w:ascii="Calibri" w:hAnsi="Calibri"/>
          <w:b w:val="0"/>
          <w:color w:val="3A4A28"/>
          <w:sz w:val="20"/>
        </w:rPr>
        <w:t>Income sustainability — GAAP NII of $0.16/share is far below the $0.20/share monthly distribution, meaning the fund relies on core NII adjustments and unrealized gains to support payouts [1]</w:t>
      </w:r>
    </w:p>
    <w:p>
      <w:pPr>
        <w:spacing w:before="40" w:after="40"/>
        <w:ind w:left="283"/>
      </w:pPr>
      <w:r>
        <w:rPr>
          <w:rFonts w:ascii="Calibri" w:hAnsi="Calibri"/>
          <w:b/>
          <w:color w:val="4A6B25"/>
          <w:sz w:val="20"/>
        </w:rPr>
        <w:t xml:space="preserve">3. </w:t>
      </w:r>
      <w:r>
        <w:rPr>
          <w:rFonts w:ascii="Calibri" w:hAnsi="Calibri"/>
          <w:b w:val="0"/>
          <w:color w:val="3A4A28"/>
          <w:sz w:val="20"/>
        </w:rPr>
        <w:t>Interest rate and credit cycle risk — rising defaults in the leveraged loan market would reduce CLO equity cash flows and trigger further distribution cuts, while the external management fee structure ($0.20/share monthly) reduces alignment with shareholders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Oxford Lane's core business — investing in CLO equity and debt tranches backed by diversified pools of senior secured corporate loans — is structurally immune to AI disruption [2]. CLO vehicles require complex legal structuring, regulatory compliance, credit analysis of underlying loan pools, and relationship-driven deal sourcing that AI cannot replace. The underlying collateral (senior secured loans to corporations) represents physical-world lending that requires human judgment on covenant structures, restructuring scenarios, and counterparty relationships. AI Opportunity (0/1): OXLC does not generate any revenue from AI products or services; it is a pure financial investment vehicle with no AI-related portfolio companies or technology offerings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Oxford Lane Capital Q3 FY2026 Earnings Call — NAV $15.51, core NII $1.12/share, $263M new CLO equity, distribution cut to $0.20/share, April 2026</w:t>
      </w:r>
    </w:p>
    <w:p>
      <w:pPr>
        <w:spacing w:before="20" w:after="20"/>
        <w:ind w:left="170"/>
      </w:pPr>
      <w:r>
        <w:rPr>
          <w:rFonts w:ascii="Calibri" w:hAnsi="Calibri"/>
          <w:b/>
          <w:color w:val="4A6B25"/>
          <w:sz w:val="15"/>
        </w:rPr>
        <w:t xml:space="preserve">2. </w:t>
      </w:r>
      <w:r>
        <w:rPr>
          <w:rFonts w:ascii="Calibri" w:hAnsi="Calibri"/>
          <w:b w:val="0"/>
          <w:color w:val="3A4A28"/>
          <w:sz w:val="17"/>
        </w:rPr>
        <w:t>Oxford Lane Capital Corp. corporate profile and management team — oxfordlanecapital.com,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Nasdaq OXLC dividend history — $0.20/share monthly distribution, 50% cut from $0.40, yield ~24%, April 2026</w:t>
      </w:r>
    </w:p>
    <w:p>
      <w:pPr>
        <w:spacing w:before="20" w:after="20"/>
        <w:ind w:left="170"/>
      </w:pPr>
      <w:r>
        <w:rPr>
          <w:rFonts w:ascii="Calibri" w:hAnsi="Calibri"/>
          <w:b/>
          <w:color w:val="4A6B25"/>
          <w:sz w:val="15"/>
        </w:rPr>
        <w:t xml:space="preserve">4. </w:t>
      </w:r>
      <w:r>
        <w:rPr>
          <w:rFonts w:ascii="Calibri" w:hAnsi="Calibri"/>
          <w:b w:val="0"/>
          <w:color w:val="3A4A28"/>
          <w:sz w:val="17"/>
        </w:rPr>
        <w:t>GuruFocus — Oxford Lane Capital January 2026 NAV estimate $13.48-$13.78/share, February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OXLC key statistics, stock price $10.00, PE 22.73, forward PE 2.25,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