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OXSQ</w:t>
      </w:r>
      <w:r>
        <w:rPr>
          <w:rFonts w:ascii="Calibri" w:hAnsi="Calibri"/>
          <w:b/>
          <w:color w:val="1A2010"/>
          <w:sz w:val="40"/>
        </w:rPr>
        <w:t xml:space="preserve">  Oxford Square Capital Corp.</w:t>
      </w:r>
    </w:p>
    <w:p>
      <w:pPr>
        <w:spacing w:after="120"/>
      </w:pPr>
      <w:r>
        <w:rPr>
          <w:rFonts w:ascii="Calibri" w:hAnsi="Calibri"/>
          <w:b/>
          <w:color w:val="6E8450"/>
          <w:sz w:val="18"/>
        </w:rPr>
        <w:t>DIVIDEND SLEEVE · 2026-04-29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Oxford Square Capital Corp. is a publicly traded business development company operating as a closed-end, non-diversified management investment company. The firm invests primarily in corporate debt securities of technology-related companies and collateralized loan obligation (CLO) structured finance investments, targeting companies with revenues under $200 million and enterprise values under $300 million.</w:t>
      </w:r>
    </w:p>
    <w:p>
      <w:r>
        <w:rPr>
          <w:rFonts w:ascii="Calibri" w:hAnsi="Calibri"/>
          <w:b/>
          <w:color w:val="6E8450"/>
          <w:sz w:val="18"/>
        </w:rPr>
        <w:t>https://www.oxfordsquarecapital.com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OXSQ has not executed any meaningful product launches, market pivots, or business model transformations in the past 5 years. The company continues to operate the same CLO equity and tech-focused debt investment strategy it has run since its founding as TICC Capital in 2003 [1]. AI Deployment (0/2): No evidence of AI-powered investment tools, automated underwriting, or AI-driven portfolio management. The company's small team relies on traditional credit analysis approaches. Market Share Leadership (1/2): OXSQ occupies a niche position as one of few BDCs with significant CLO equity exposure and tech-focused lending, but at a $158M market cap, it is one of the smallest publicly traded BDCs with no meaningful market share in the broader credit investment space [2]. Product Pipeline (0/2): No next-generation products or strategies disclosed. The company's investment approach has remained static, with no announced initiatives to expand into new asset classes or markets. R&amp;D Intensity (1/1): Not applicable to BDCs, but CEO Jonathan Cohen's background in technology equity research provides above-average sector expertise for tech-focused lending relative to generalist BDC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OXSQ's stated purpose is to provide capital to established businesses and generate income for shareholders through CLO and debt investments — a purely functional description with no inspirational component, interchangeable with any BDC peer [1]. Community &amp; Charitable Impact (0/2): No evidence of charitable programs, community investment, or philanthropic initiatives. As a small, externally managed BDC with no disclosed employees, community engagement is effectively nonexistent. Employee Retention &amp; Tenure (0/2): OXSQ is externally managed with no disclosed full-time employees, making employee retention assessment impossible. CEO Jonathan Cohen has led the company since its founding as TICC Capital in 2003, providing leadership continuity [1]. Insider Buying (1/2): Limited insider transaction data available, but Cohen's long tenure and continued management suggest ongoing alignment, though no significant recent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Oxford Square's financial infrastructure shows severe profitability challenges offset partially by low valuation and long dividend payment history. Debt-to-equity of 104% is moderate for a BDC [2]. Return on equity is deeply negative at -12.2%, reflecting realized and unrealized losses on CLO equity positions and tech debt investments. Revenue growth is barely positive at 1.9% YoY, while 5-year CAGR is approximately -5% as the portfolio has contracted. The forward P/E of 6.5x looks cheap but masks the negative net margin of -46.4% [2]. The payout ratio exceeds 466%, meaning Oxford Square distributes far more than it earns — analysts have flagged this as a 'dangerous math problem' where the 22% yield masks systematic NAV destruction [2]. OXSQ has paid dividends monthly since 2003 (~23 years), but has cut the dividend multiple times, with no consecutive growth years and negative 5-year dividend growth CAGR.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Oxford Square operates with a predominantly finite mindset, focused on maintaining monthly distributions and managing a contracting portfolio. The company's 23-year existence without meaningful strategic evolution, persistent NAV erosion, and distribution-ahead-of-income structure reflect an organization optimized for near-term income generation rather than long-term institutional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Oxford Square has no articulated just cause. The company exists to generate income from CLO equity and corporate debt investments and distribute it to shareholders [1]. There is no vision of a better future, no purpose beyond financial returns, and no evidence that leadership frames the company's work in aspirational terms. This is a financial vehicle, not a purpose-driven organization.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OXSQ is externally managed with no disclosed employees, making traditional trust assessment difficult. CEO Jonathan Cohen has led the company since its 2003 founding as TICC Capital, providing 23 years of leadership continuity [1]. The lack of reported management turnover suggests stability, though in an externally managed structure with minimal staff, this reflects smallness rather than deliberate culture-building.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learning from rival BDCs. OXSQ's earnings calls and communications focus narrowly on portfolio metrics and distribution levels rather than competitive positioning. The company does not benchmark itself against higher-performing peers like Ares Capital or Main Street Capital in its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Oxford Square has maintained essentially the same CLO equity and tech-focused debt strategy since its founding over two decades ago [1]. The company has not adapted its investment strategy, pivoted to new asset classes, or evolved its approach in any meaningful way. The shift from TICC Capital to Oxford Square Capital was a rebrand, not a strategic transformation. In a rapidly evolving credit market, this rigidity is a significant weakness.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at the expense of short-term performance. Instead, the pattern is one of maintaining unsustainably high distributions to retain investors while NAV erodes quarter after quarter [2]. Analysts have described the 22% yield as masking a 'dangerous math problem,' suggesting management prioritizes the appearance of income stability over the financial health of the enterprise. Cutting the dividend to preserve NAV would be courageous; maintaining it while destroying capital is the opposite.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Oxford Square offers a 23.2% yield and trades at a deeply discounted forward P/E of 6.5x, potentially appealing to income-focused investors willing to accept NAV erosion in exchange for high current cash flow [2]. The company's 23-year dividend payment history provides some comfort that distributions will continue in some form, and CEO Cohen's technology sector expertise positions the portfolio to benefit if tech lending conditions improve. Debt-to-equity of 104% is moderate, and the $2.5M daily dollar volume provides adequate liquidity for individual investors.</w:t>
      </w:r>
    </w:p>
    <w:p>
      <w:pPr>
        <w:spacing w:after="120"/>
      </w:pPr>
      <w:r>
        <w:rPr>
          <w:rFonts w:ascii="Calibri" w:hAnsi="Calibri"/>
          <w:b w:val="0"/>
          <w:color w:val="3A4A28"/>
          <w:sz w:val="20"/>
        </w:rPr>
        <w:t>The bear case is overwhelming: OXSQ's 466% payout ratio means distributions dramatically exceed net investment income, funded by return of capital that systematically destroys NAV [2]. Return on equity is -12.2% with a -46.4% net margin, meaning the portfolio is generating losses, not income. Q1 2026 reported EPS of -$0.17 versus the $0.07 consensus estimate, a massive miss accompanied by negative revenue of -$10.7M versus $10.2M expected — indicating unrealized losses swamping income. The stock has lost approximately 80% of its value since listing on NASDAQ, and CLO equity yields are compressing, threatening the primary income source. Analysts at Seeking Alpha have explicitly labeled OXSQ a 'dividend trap with an unjustified risk-reward profile,' and the mathematical reality of distributions exceeding income makes further NAV erosion and dividend cuts virtually inevitable.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CLO equity yields and tech credit markets could slow NAV erosion and improve net investment income coverage of the monthly distribution</w:t>
      </w:r>
    </w:p>
    <w:p>
      <w:pPr>
        <w:spacing w:before="40" w:after="40"/>
        <w:ind w:left="283"/>
      </w:pPr>
      <w:r>
        <w:rPr>
          <w:rFonts w:ascii="Calibri" w:hAnsi="Calibri"/>
          <w:b/>
          <w:color w:val="4A6B25"/>
          <w:sz w:val="20"/>
        </w:rPr>
        <w:t xml:space="preserve">2. </w:t>
      </w:r>
      <w:r>
        <w:rPr>
          <w:rFonts w:ascii="Calibri" w:hAnsi="Calibri"/>
          <w:b w:val="0"/>
          <w:color w:val="3A4A28"/>
          <w:sz w:val="20"/>
        </w:rPr>
        <w:t>Tech sector lending recovery driven by AI adoption increasing borrowing demand from OXSQ's target market of sub-$300M enterprise value technology companies</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alternatives including merger with a larger BDC platform that could reduce management costs and improve portfolio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Further dividend cuts are virtually certain given the 466% payout ratio and -$0.17 EPS versus $0.07 consensus in Q1 2026, likely triggering additional share price declines as income investors exit</w:t>
      </w:r>
    </w:p>
    <w:p>
      <w:pPr>
        <w:spacing w:before="40" w:after="40"/>
        <w:ind w:left="283"/>
      </w:pPr>
      <w:r>
        <w:rPr>
          <w:rFonts w:ascii="Calibri" w:hAnsi="Calibri"/>
          <w:b/>
          <w:color w:val="4A6B25"/>
          <w:sz w:val="20"/>
        </w:rPr>
        <w:t xml:space="preserve">2. </w:t>
      </w:r>
      <w:r>
        <w:rPr>
          <w:rFonts w:ascii="Calibri" w:hAnsi="Calibri"/>
          <w:b w:val="0"/>
          <w:color w:val="3A4A28"/>
          <w:sz w:val="20"/>
        </w:rPr>
        <w:t>Continued NAV erosion from distributing capital in excess of earnings, compressing the equity base and increasing leverage ratios over time — an 80% cumulative value decline since listing demonstrates this structural deterioration</w:t>
      </w:r>
    </w:p>
    <w:p>
      <w:pPr>
        <w:spacing w:before="40" w:after="40"/>
        <w:ind w:left="283"/>
      </w:pPr>
      <w:r>
        <w:rPr>
          <w:rFonts w:ascii="Calibri" w:hAnsi="Calibri"/>
          <w:b/>
          <w:color w:val="4A6B25"/>
          <w:sz w:val="20"/>
        </w:rPr>
        <w:t xml:space="preserve">3. </w:t>
      </w:r>
      <w:r>
        <w:rPr>
          <w:rFonts w:ascii="Calibri" w:hAnsi="Calibri"/>
          <w:b w:val="0"/>
          <w:color w:val="3A4A28"/>
          <w:sz w:val="20"/>
        </w:rPr>
        <w:t>CLO equity concentration risk — compressed CLO yields and rising default rates in leveraged loans could simultaneously reduce OXSQ's income and impair its largest asset class, creating a reinforcing downward spiral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OXSQ's core lending and CLO investment business is moderately protected from AI disruption. Credit analysis and CLO structuring involve complex judgment calls, regulatory expertise, and relationship-driven deal sourcing that AI cannot easily replicate [1]. However, the BDC industry faces gradual AI-driven disintermediation as larger platforms (Ares, Blackstone) deploy AI-powered credit analysis and automated underwriting at scale, potentially marginalizing small BDCs with limited technological resources. OXSQ's focus on tech-sector lending means its borrower base may be more exposed to AI-driven disruption than traditional middle-market borrowers, creating indirect portfolio risk [1]. AI Opportunity (0/1): Oxford Square does not generate revenue from AI products. While its tech-focused portfolio may include companies benefiting from AI adoption, this is indirect portfolio exposure rather than direct AI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Oxford Square Capital Corp. corporate profile and leadership team, oxfordsquarecapital.com,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Oxford Square Capital Q1 2026 earnings results and Yahoo Finance CLO equity stress test analysis, March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analyst research: 'Oxford Square Capital: A Dividend Trap With An Unjustified Risk-Reward Profile,'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