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OZK</w:t>
      </w:r>
      <w:r>
        <w:rPr>
          <w:rFonts w:ascii="Calibri" w:hAnsi="Calibri"/>
          <w:b/>
          <w:color w:val="1A2010"/>
          <w:sz w:val="40"/>
        </w:rPr>
        <w:t xml:space="preserve">  Bank OZK</w:t>
      </w:r>
    </w:p>
    <w:p>
      <w:pPr>
        <w:spacing w:after="120"/>
      </w:pPr>
      <w:r>
        <w:rPr>
          <w:rFonts w:ascii="Calibri" w:hAnsi="Calibri"/>
          <w:b/>
          <w:color w:val="6E8450"/>
          <w:sz w:val="18"/>
        </w:rPr>
        <w:t>DIVIDEND SLEEVE · 2026-04-26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Bank OZK is a regional bank headquartered in Little Rock, Arkansas, operating approximately 240 branches across the southern United States. The bank is nationally known for its Real Estate Specialties Group (RESG), which is a leading originator of large commercial real estate construction and development loans, and its Corporate and Institutional Banking (CIB) group spanning 42+ industry niches.</w:t>
      </w:r>
    </w:p>
    <w:p>
      <w:r>
        <w:rPr>
          <w:rFonts w:ascii="Calibri" w:hAnsi="Calibri"/>
          <w:b/>
          <w:color w:val="6E8450"/>
          <w:sz w:val="18"/>
        </w:rPr>
        <w:t>3,280 Employees · https://www.ozk.com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Bank OZK has successfully diversified from an Arkansas community bank into a national CRE lending powerhouse and launched the CIB group spanning 42+ industry niches, adding nearly two dozen new client relationships in Q1 2026 alone [1]. The deliberate shift away from CRE concentration toward broader commercial lending represents a meaningful strategic evolution. AI Deployment (1/2): OZK Labs, the bank's dedicated innovation lab reporting directly to CEO Gleason, is deploying machine learning for data-driven insights and building digital banking experiences — one of the few community banks with a formal innovation lab [2]. Market Share (1/2): Bank OZK's RESG is a nationally recognized leader in CRE construction finance, with $28.6B in total CRE exposure, but the bank is a modest player in broader commercial banking with $40.8B in total assets [3]. Pipeline (1/2): CIB growth across 42 industry verticals and the strategic diversification away from CRE provide clear but incremental growth visibility; no transformative new products were announced [1]. R&amp;D Intensity (1/1): OZK Labs represents above-average technology investment for a regional bank with 3,280 employees, with direct CEO oversight signaling institutional commitment to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Bank OZK positions itself around disciplined risk management and building long-term client relationships — a clear operating philosophy for a community bank but not a distinctive or transformative vision. The mission is functional rather than inspirational. Community Impact (2/2): As a 240-branch community bank serving the southern US, OZK plays a meaningful role in local economic development through CRE construction lending that builds communities, affordable housing initiatives, and small business lending. The Inspire score of 50 with 12 positive attributions including Employee Wellbeing and Ethical Sales Practices reflects broad community engagement [CSV]. Employee Retention (1/2): Glassdoor rating of 4.1 for culture &amp; values and 4.1 for work-life balance with 80% of employees recommending working there — above average for banking [2]. However, consistent complaints about low pay relative to workload suggest retention is driven by culture rather than compensation. Insider Buying (1/2): CEO Gleason has led the bank since 1979 (47 years) with significant equity exposure through long-term compensation and ownership, demonstrating extraordinary alignment, though specific recent insider transaction data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 OZK delivers exceptional financial metrics for a regional bank. Revenue of $1.73B in 2025 (1.4% YoY growth, 11.2% 3yr CAGR) with a 45.3% profit margin demonstrates strong operating efficiency [1][4]. Net interest margin of 4.20% is well above peer average, and forward P/E of 7.4x at a payout ratio of 28.2% offers compelling value [4]. D/E of 7.6% (long-term debt to equity) is extremely low, though total liabilities including deposits are $34.7B against $6.1B equity — typical bank leverage. Q1 2026 net income of $159.3M (EPS $1.44) was a modest 2% decline but beat expectations [1]. The 29 consecutive years of dividend payments with 8 consecutive years of growth and a 10.0% 5yr dividend CAGR at a 3.83% yield provide excellent income characteristics. Charge-offs rose to $160M in FY2025 (from $57.4M in 2024), reflecting CRE stress but manageable relative to the portfolio [3]. Liquidity floor cleared: 1.27M avg vol x $47.47 = $60.1M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Bank OZK under George Gleason's 47-year leadership tenure embodies long-term thinking — building the RESG into a national CRE franchise over decades and now deliberately diversifying into CIB to ensure durability. However, the bank's aggressive CRE concentration (584% of equity) reflects a willingness to push risk boundaries that tests infinite game discipline, and the current strategic pivot is partially forced by credit deterioration rather than proactive cause-driven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Bank OZK's purpose centers on disciplined lending and community banking — a functional operating philosophy rather than a vision of a better future. The bank exists to generate returns through specialized CRE lending and community banking services. While Gleason's 47-year commitment demonstrates authentic dedication, the purpose is shareholder-centric and interchangeable with most community banks. The recent strategic pivot toward CIB diversification is risk-management-driven rather than cause-driven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80% recommendation rate, 4.1 culture/values, and 4.1 work-life balance indicate an adequately trusting environment for banking [2]. Employee comments describe an encouraging culture with 'moral and life among the staff' driven by 'great leadership.' However, persistent complaints about low compensation suggest the trust has limits, and the political environment noted by some reviewers may create selective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Bank OZK's CIB group operates across 42 industry niches, strategically shifting focus 'as competition and pricing vary across verticals' — explicitly acknowledging competitive dynamics as signals for self-improvement rather than battles to win [1]. The bank's willingness to cap new CRE loans at $500M and diversify reflects learning from the broader banking industry's CRE pain rather than stubbornly defending its dominant CRE position.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Bank OZK is actively pivoting from its CRE-dominant model toward diversified corporate and institutional banking across 42 industry niches, reducing construction loan concentration after charge-offs climbed to $160M [3]. Capping new CRE loans at $500M represents a meaningful strategic evolution. However, this pivot is partially forced by credit deterioration and market pressure rather than proactive cause-driven transformation, and the core business model remains fundamentally unchanged — it's lending, just to different borrowers.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Gleason's 47-year tenure includes building the RESG into a national franchise when critics called it reckless — and being proven right for over a decade of outperformance [3]. The current decision to cap CRE exposure and diversify into CIB, despite RESG being the bank's competitive advantage, shows willingness to sacrifice near-term growth for long-term stability. However, the timing — after $160M in charge-offs — suggests reactive rather than proactive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Bank OZK offers a compelling value-and-income combination at 7.4x forward P/E with a 3.83% dividend yield backed by 29 consecutive years of payments and a 10.0% 5yr dividend CAGR [4]. The bank reported Q1 2026 net income of $159.3M (EPS $1.44 beating expectations) with NIM of 4.20% — well above regional bank peers [1]. Revenue of $1.73B in 2025 with a 45.3% profit margin demonstrates the earnings power of the RESG CRE franchise, while the CIB expansion across 42 industry niches provides a diversification growth engine. CEO Gleason's 47-year tenure, OZK Labs' innovation investments, and the low D/E of 7.6% provide leadership stability and balance sheet strength unusual for a $5.2B market cap bank.</w:t>
      </w:r>
    </w:p>
    <w:p>
      <w:pPr>
        <w:spacing w:after="120"/>
      </w:pPr>
      <w:r>
        <w:rPr>
          <w:rFonts w:ascii="Calibri" w:hAnsi="Calibri"/>
          <w:b w:val="0"/>
          <w:color w:val="3A4A28"/>
          <w:sz w:val="20"/>
        </w:rPr>
        <w:t>The bear case is CRE concentration risk. Bank OZK's $28.6B total CRE exposure represents 584% of equity — an extraordinary concentration that regulators and analysts have flagged repeatedly [3]. Charge-offs surged to $160M in 2025 (from $57.4M in 2024), with specific write-downs on a vacant Cambridge office ($72.4M), Santa Monica creative offices, and Chicago's Lincoln Yards project [3]. Revenue growth of just 1.4% YoY and a 2% EPS decline in Q1 2026 suggest the RESG growth engine is slowing. The bank's dependence on higher-cost funding (CDs) rather than cheap deposits compresses net interest margins as rate conditions shift. ROE of 11.8% is below the 15% target for a bank of this risk profile. The strategic pivot toward CIB diversification is rational but early-stage, and the bank must navigate CRE credit stress while simultaneously building new lending capabilities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CIB diversification across 42 industry niches — nearly two dozen new client relationships added in Q1 2026, providing revenue growth independent of CRE cycles [1]</w:t>
      </w:r>
    </w:p>
    <w:p>
      <w:pPr>
        <w:spacing w:before="40" w:after="40"/>
        <w:ind w:left="283"/>
      </w:pPr>
      <w:r>
        <w:rPr>
          <w:rFonts w:ascii="Calibri" w:hAnsi="Calibri"/>
          <w:b/>
          <w:color w:val="4A6B25"/>
          <w:sz w:val="20"/>
        </w:rPr>
        <w:t xml:space="preserve">2. </w:t>
      </w:r>
      <w:r>
        <w:rPr>
          <w:rFonts w:ascii="Calibri" w:hAnsi="Calibri"/>
          <w:b w:val="0"/>
          <w:color w:val="3A4A28"/>
          <w:sz w:val="20"/>
        </w:rPr>
        <w:t>Dividend growth acceleration — 10.0% 5yr CAGR with a 28.2% payout ratio provides ample room for continued increases at the 3.83% current yield [4]</w:t>
      </w:r>
    </w:p>
    <w:p>
      <w:pPr>
        <w:spacing w:before="40" w:after="40"/>
        <w:ind w:left="283"/>
      </w:pPr>
      <w:r>
        <w:rPr>
          <w:rFonts w:ascii="Calibri" w:hAnsi="Calibri"/>
          <w:b/>
          <w:color w:val="4A6B25"/>
          <w:sz w:val="20"/>
        </w:rPr>
        <w:t xml:space="preserve">3. </w:t>
      </w:r>
      <w:r>
        <w:rPr>
          <w:rFonts w:ascii="Calibri" w:hAnsi="Calibri"/>
          <w:b w:val="0"/>
          <w:color w:val="3A4A28"/>
          <w:sz w:val="20"/>
        </w:rPr>
        <w:t>NIM of 4.20% above peers with OZK Labs digital banking investments could drive operating efficiency gains that expand margins as the rate environment normalizes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concentration risk — $28.6B exposure at 584% of equity with charge-offs tripling to $160M in 2025, and specific project write-downs in Cambridge, Santa Monica, and Chicago signal ongoing credit stress [3]</w:t>
      </w:r>
    </w:p>
    <w:p>
      <w:pPr>
        <w:spacing w:before="40" w:after="40"/>
        <w:ind w:left="283"/>
      </w:pPr>
      <w:r>
        <w:rPr>
          <w:rFonts w:ascii="Calibri" w:hAnsi="Calibri"/>
          <w:b/>
          <w:color w:val="4A6B25"/>
          <w:sz w:val="20"/>
        </w:rPr>
        <w:t xml:space="preserve">2. </w:t>
      </w:r>
      <w:r>
        <w:rPr>
          <w:rFonts w:ascii="Calibri" w:hAnsi="Calibri"/>
          <w:b w:val="0"/>
          <w:color w:val="3A4A28"/>
          <w:sz w:val="20"/>
        </w:rPr>
        <w:t>Slowing growth — revenue up only 1.4% YoY and EPS declining 2% in Q1 2026, with RESG loan caps at $500M potentially constraining the bank's highest-returning business line [1][3]</w:t>
      </w:r>
    </w:p>
    <w:p>
      <w:pPr>
        <w:spacing w:before="40" w:after="40"/>
        <w:ind w:left="283"/>
      </w:pPr>
      <w:r>
        <w:rPr>
          <w:rFonts w:ascii="Calibri" w:hAnsi="Calibri"/>
          <w:b/>
          <w:color w:val="4A6B25"/>
          <w:sz w:val="20"/>
        </w:rPr>
        <w:t xml:space="preserve">3. </w:t>
      </w:r>
      <w:r>
        <w:rPr>
          <w:rFonts w:ascii="Calibri" w:hAnsi="Calibri"/>
          <w:b w:val="0"/>
          <w:color w:val="3A4A28"/>
          <w:sz w:val="20"/>
        </w:rPr>
        <w:t>Higher-cost funding dependence on CDs rather than low-cost core deposits creates margin vulnerability in a rising-rate environment, compounding competitive pressure from fintechs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 OZK's core business — CRE construction lending, community banking, and corporate/institutional banking — is protected by regulatory requirements, relationship complexity, and physical-world underwriting that AI cannot easily replace [2][3]. The RESG's expertise in large-scale CRE construction finance requires deep domain knowledge and relationship management that algorithms cannot fully replicate. However, fintech and AI-driven lending platforms create moderate competitive pressure on commodity banking products (deposits, consumer loans, small business lending). OZK Labs' investment in machine learning and digital banking positions the bank defensively. AI Opportunity (1/1): OZK Labs generates measurable operational efficiency through AI-driven data analytics and digital banking, with the innovation lab reporting directly to the CEO, though specific revenue figures from AI products were not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OZK Q1 2026 Earnings Release — $159.3M net income, EPS $1.44, NIM 4.20%, CIB growth, April 21, 2026</w:t>
      </w:r>
    </w:p>
    <w:p>
      <w:pPr>
        <w:spacing w:before="20" w:after="20"/>
        <w:ind w:left="170"/>
      </w:pPr>
      <w:r>
        <w:rPr>
          <w:rFonts w:ascii="Calibri" w:hAnsi="Calibri"/>
          <w:b/>
          <w:color w:val="4A6B25"/>
          <w:sz w:val="15"/>
        </w:rPr>
        <w:t xml:space="preserve">2. </w:t>
      </w:r>
      <w:r>
        <w:rPr>
          <w:rFonts w:ascii="Calibri" w:hAnsi="Calibri"/>
          <w:b w:val="0"/>
          <w:color w:val="3A4A28"/>
          <w:sz w:val="17"/>
        </w:rPr>
        <w:t>OZK Labs / The Financial Brand — Bank OZK innovation lab, AI and machine learning deployment, digital banking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Bisnow / CRE Daily / American Banker — Bank OZK CRE exposure $28.6B (584% of equity), charge-offs $160M in 2025, $500M loan cap, diversification strategy,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OZK (Bank OZK),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