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w:t>
      </w:r>
      <w:r>
        <w:rPr>
          <w:rFonts w:ascii="Calibri" w:hAnsi="Calibri"/>
          <w:b/>
          <w:color w:val="1A2010"/>
          <w:sz w:val="40"/>
        </w:rPr>
        <w:t xml:space="preserve">  Realty Income Corporation</w:t>
      </w:r>
    </w:p>
    <w:p>
      <w:pPr>
        <w:spacing w:after="120"/>
      </w:pPr>
      <w:r>
        <w:rPr>
          <w:rFonts w:ascii="Calibri" w:hAnsi="Calibri"/>
          <w:b/>
          <w:color w:val="6E8450"/>
          <w:sz w:val="18"/>
        </w:rPr>
        <w:t>DIVIDEND SLEEVE · 2026-03-28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Realty Income Corporation is a real estate investment trust that invests in single-tenant commercial properties under long-term net-lease agreements. Branded as 'The Monthly Dividend Company,' Realty Income owns over 15,600 properties across the US, UK, and Europe, leased to ~1,550 clients across 90 industries. It is the largest net-lease REIT by market cap (~$56.6B) and an S&amp;P 500 member.</w:t>
      </w:r>
    </w:p>
    <w:p>
      <w:r>
        <w:rPr>
          <w:rFonts w:ascii="Calibri" w:hAnsi="Calibri"/>
          <w:b/>
          <w:color w:val="6E8450"/>
          <w:sz w:val="18"/>
        </w:rPr>
        <w:t>544 Employees · https://www.realtyincome.com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Realty Income completed the transformative $9.3B acquisition of Spirit Realty Capital in January 2024, adding ~2,000 properties and expanding its portfolio to 15,600+ properties; the company also expanded into Europe and entered data center and gaming property types, meaningfully diversifying beyond traditional retail net-lease [1]. AI Deployment (0/2): No AI-powered products or services shipping to customers; the Chief Strategy Officer's role includes 'predictive analytics using machine learning and AI' but no specific deployments or quantified results have been disclosed [2]. Market Share (2/2): Realty Income is the undisputed leader in net-lease REITs with a $56.6B market cap, more than double its nearest competitor (NNN); 98.9% occupancy rate and 15,600+ properties across 90 industries create unmatched scale [1]. Pipeline (1/2): The $8B 2026 investment volume target is the largest in company history (27% above 2025), and the new $1.5B GIC sovereign wealth partnership and US Core Plus fund with $1.5B in commitments provide specific capital deployment visibility [1]. R&amp;D Intensity (0/1): Not applicable for a REIT — no traditional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Realty Income's brand identity as 'The Monthly Dividend Company' is distinctive and memorable — it clearly connects the company's purpose to providing dependable income for shareholders, and has been validated by 55+ years of consecutive monthly dividends [1]. However, it is a financial commitment rather than a transformative vision of a better future. Community Impact (1/2): Recognized as one of America's Most Responsible Companies 2026 by Newsweek; the company publishes sustainability reports aligned with GRI and TCFD frameworks, and launched a Green Financing Framework in 2021 [3]. However, no distinctive charitable programs or community investment with specific dollar amounts were found beyond standard corporate ESG. Employee Retention (0/2): Glassdoor rating of 3.5/5 with only 49% of employees recommending the company to a friend; reviews cite below-market pay, 'employees leaving in droves,' and a culture that has 'lost all sense of the family feel' as the company scaled rapidly [2]. Insider Buying (1/2): CEO Sumit Roy's $15.25M total compensation is 93.4% stock-based, creating strong equity alignment with shareholders, but no evidence of meaningful open-market insider buying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Realty Income's financial profile reflects the strengths and structural peculiarities of a net-lease REIT. D/E of 73.5% is near the 70% target, well-managed for a capital-intensive REIT [4]. Revenue of $5.76B grew 11% YoY with 92.6% gross margins and 47.0% operating margins — exceptional efficiency driven by the triple-net-lease model where tenants pay property expenses [1]. Forward P/E of 34.6x is high but reflects REIT valuation norms where AFFO ($4.28/share, growing to $4.38-$4.42 guided) is the relevant earnings metric; on a P/AFFO basis, the stock trades at ~14x which is more reasonable [1]. ROE of 2.7% is structurally low for REITs due to depreciation charges on GAAP earnings; this metric significantly understates economic returns. Payout ratio of 275% on GAAP earnings reflects REIT distribution requirements (AFFO payout is ~74%, which is healthy). Consecutive years paid: 55+ with 30+ years of growth. 5-year dividend growth CAGR of ~3.5% is below the 6% target, reflecting the lower-growth nature of net-lease REITs. Liquidity floor cleared: 6.6M avg vol x $60.69 = $398M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Realty Income exhibits many infinite game qualities — a 55-year track record of monthly dividends, patient capital deployment across market cycles, and a brand identity built around dependable income for generations of investors. CEO Sumit Roy has led for 10+ years with consistent strategic execution. However, the rapid scale-up (Spirit Realty acquisition, European expansion, $8B 2026 investment target) and employee concerns about growth overwhelming culture suggest tension between infinite purpose and finite growth metrics.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Monthly Dividend Company' is more than marketing — it's a 55-year commitment to providing dependable monthly income that has survived multiple recessions, interest rate cycles, and leadership transitions [1]. Shareholders, many of them retirees relying on dividend income, join the cause willingly. The commitment to monthly (not quarterly) dividends with 30+ consecutive years of increases reflects a genuine orientation toward serving income-dependent investors. However, the Just Cause is ultimately financial rather than transformative — it describes a superior financial product rather than a vision of a better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shows an adequate but not exceptional trust environment. Positive reviews cite CEO Sumit Roy as 'authentic' and 'very communicative and accessible' with a 'small-firm feeling' despite Fortune 500 scale [2]. However, the rapid scaling from ~350 to 544 employees has strained culture — employees report the company has 'lost the family feel,' pay is below market, and 'employees are leaving in droves' [2]. The trust-culture tension between old and new Realty Income is real.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Realty Income operates in a competitive net-lease REIT landscape alongside NNN Realty, STORE Capital, and W.P. Carey, and management consistently frames competition as motivation to improve — pursuing differentiated strategies (European expansion, data centers, gaming) rather than mimicking peers [1]. The company acknowledges the structural advantages of competitors in specific niches while focusing on its unique scale and diversification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Realty Income has evolved meaningfully from a US-focused retail net-lease REIT to a global diversified real estate platform — expanding into Europe (UK, Spain, Italy, France), entering data center and gaming property types, and launching private capital vehicles ($1.5B GIC partnership, US Core Plus fund) [1]. These are significant strategic evolutions, though not yet transformative pivots. The company remains fundamentally in the same business (collecting rent from single-tenant properties) but has substantially expanded its addressable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$9.3B Spirit Realty acquisition in 2024 was a bold bet on scale that risked near-term dilution and integration complexity for long-term portfolio expansion [1]. The 2026 $8B investment target — the largest in company history and 27% above 2025 — demonstrates willingness to deploy capital aggressively when the opportunity set is favorable. CEO Roy's 10-year tenure through varying interest rate environments shows consistency, though the growth acceleration has raised questions about whether scale is being pursued for its own sake or in service of the income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Realty Income is the gold standard of net-lease REITs — a $56.6B market cap S&amp;P 500 member with 55+ years of consecutive monthly dividends, 30+ years of dividend growth, and 98.9% portfolio occupancy across 15,600+ properties [1]. The 5.33% dividend yield at $60.69 provides compelling income in a declining rate environment, with AFFO guidance of $4.38-$4.42 for 2026 representing ~2.8% growth and ~9% total operational return [1]. The $8B 2026 investment target at 7.1% initial cash yields is highly accretive, supported by the new $1.5B GIC sovereign wealth partnership and private capital vehicles that expand Realty Income's investment capacity without proportional equity dilution [1]. D/E of 73.5% is well-managed, and the triple-net-lease model with 92.6% gross margins creates a highly durable cash flow stream.</w:t>
      </w:r>
    </w:p>
    <w:p>
      <w:pPr>
        <w:spacing w:after="120"/>
      </w:pPr>
      <w:r>
        <w:rPr>
          <w:rFonts w:ascii="Calibri" w:hAnsi="Calibri"/>
          <w:b w:val="0"/>
          <w:color w:val="3A4A28"/>
          <w:sz w:val="20"/>
        </w:rPr>
        <w:t>The bear case focuses on growth deceleration and structural REIT challenges. AFFO per share growth guidance of ~2.8% for 2026 is well below Realty Income's long-stated ~5% target, raising questions about whether the company can grow per-share metrics at scale with a 933M+ share base [1]. Forward P/AFFO of ~14x is reasonable but not cheap versus historical averages, and the 34.6x GAAP P/E creates sticker shock for non-REIT investors. The $29.5B in total debt creates meaningful interest rate sensitivity — if rates stay elevated, the spread between investment yields (7.1%) and cost of capital narrows [4]. Employee culture strain is a risk: Glassdoor shows 49% recommendation rate with complaints about below-market pay and loss of the 'family feel' as headcount scales from ~350 to 544 [2]. Tenant concentration risk remains: Walgreens (largest tenant) faces pharmacy closures, and Dollar General/Dollar Tree face operational headwinds. The Gambling negative attribution in Inspire scoring reflects exposure to casino/gaming properties.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$8B 2026 investment volume target at 7.1% initial cash yields, supported by $1.5B GIC sovereign wealth partnership and US Core Plus fund, driving AFFO accretion [1]</w:t>
      </w:r>
    </w:p>
    <w:p>
      <w:pPr>
        <w:spacing w:before="40" w:after="40"/>
        <w:ind w:left="283"/>
      </w:pPr>
      <w:r>
        <w:rPr>
          <w:rFonts w:ascii="Calibri" w:hAnsi="Calibri"/>
          <w:b/>
          <w:color w:val="4A6B25"/>
          <w:sz w:val="20"/>
        </w:rPr>
        <w:t xml:space="preserve">2. </w:t>
      </w:r>
      <w:r>
        <w:rPr>
          <w:rFonts w:ascii="Calibri" w:hAnsi="Calibri"/>
          <w:b w:val="0"/>
          <w:color w:val="3A4A28"/>
          <w:sz w:val="20"/>
        </w:rPr>
        <w:t>Interest rate decline cycle could compress cap rates and expand Realty Income's valuation multiple while reducing its 5.4x net debt cost burden [1]</w:t>
      </w:r>
    </w:p>
    <w:p>
      <w:pPr>
        <w:spacing w:before="40" w:after="40"/>
        <w:ind w:left="283"/>
      </w:pPr>
      <w:r>
        <w:rPr>
          <w:rFonts w:ascii="Calibri" w:hAnsi="Calibri"/>
          <w:b/>
          <w:color w:val="4A6B25"/>
          <w:sz w:val="20"/>
        </w:rPr>
        <w:t xml:space="preserve">3. </w:t>
      </w:r>
      <w:r>
        <w:rPr>
          <w:rFonts w:ascii="Calibri" w:hAnsi="Calibri"/>
          <w:b w:val="0"/>
          <w:color w:val="3A4A28"/>
          <w:sz w:val="20"/>
        </w:rPr>
        <w:t>European expansion and data center/gaming property diversification expanding the addressable investment universe beyond traditional US retail net-lease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AFFO per share growth of ~2.8% guided for 2026 is significantly below the ~5% long-term target, and the 933M+ share base makes per-share accretion increasingly difficult at scale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$29.5B total debt means sustained higher-for-longer rates compress investment spread and increase refinancing cost [4]</w:t>
      </w:r>
    </w:p>
    <w:p>
      <w:pPr>
        <w:spacing w:before="40" w:after="40"/>
        <w:ind w:left="283"/>
      </w:pPr>
      <w:r>
        <w:rPr>
          <w:rFonts w:ascii="Calibri" w:hAnsi="Calibri"/>
          <w:b/>
          <w:color w:val="4A6B25"/>
          <w:sz w:val="20"/>
        </w:rPr>
        <w:t xml:space="preserve">3. </w:t>
      </w:r>
      <w:r>
        <w:rPr>
          <w:rFonts w:ascii="Calibri" w:hAnsi="Calibri"/>
          <w:b w:val="0"/>
          <w:color w:val="3A4A28"/>
          <w:sz w:val="20"/>
        </w:rPr>
        <w:t>Tenant credit risk — largest tenants including Walgreens (pharmacy closures), Dollar General, and Dollar Tree face operational headwinds that could increase lease defaults above the guided 40-50bps credit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Realty Income's business is structurally immune to AI disruption — the company owns physical commercial properties under long-term triple-net leases where tenants (Walgreens, Dollar General, FedEx, Wynn Resorts) pay rent regardless of AI's impact on the broader economy [1]. Unlike real estate services firms (CBRE, JLL) that saw 12-14% stock drops on AI disruption fears in February 2026, net-lease REITs are landlords collecting contractual rent — AI cannot replicate or substitute physical property ownership [2]. The 15,600+ property portfolio with 98.9% occupancy across 90 industries provides maximum diversification against any single-sector AI disruption. AI may even benefit Realty Income indirectly by increasing demand for data center properties, a growing asset class in the portfolio [1]. AI Opportunity (0/1): No AI-related revenue; the company uses predictive analytics internally for underwriting but does not sell AI products or generate AI-specific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Realty Income Q4 and Full Year 2025 Earnings Release — $5.75B revenue, $4.28 AFFO/share, 2026 guidance $4.38-$4.42, $8B investment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Realty Income Leadership, Glassdoor Reviews, and AI Disruption Analysis — CEO Sumit Roy, employee sentiment, net-lease AI resilience,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Realty Income 2023 Sustainability Report and ESG Profile — Newsweek recognition, Green Financing Framework, Sustainalytics low risk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 (Realty Income),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