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PAAS</w:t>
      </w:r>
      <w:r>
        <w:rPr>
          <w:rFonts w:ascii="Calibri" w:hAnsi="Calibri"/>
          <w:b/>
          <w:color w:val="1A2010"/>
          <w:sz w:val="40"/>
        </w:rPr>
        <w:t xml:space="preserve">  Pan American Silver Corp.</w:t>
      </w:r>
    </w:p>
    <w:p>
      <w:pPr>
        <w:spacing w:after="120"/>
      </w:pPr>
      <w:r>
        <w:rPr>
          <w:rFonts w:ascii="Calibri" w:hAnsi="Calibri"/>
          <w:b/>
          <w:color w:val="6E8450"/>
          <w:sz w:val="18"/>
        </w:rPr>
        <w:t>GROWTH SLEEVE · 2026-03-27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 NYSE · Canada</w:t>
      </w:r>
    </w:p>
    <w:p>
      <w:pPr>
        <w:spacing w:after="80"/>
      </w:pPr>
      <w:r>
        <w:rPr>
          <w:rFonts w:ascii="Calibri" w:hAnsi="Calibri"/>
          <w:b w:val="0"/>
          <w:color w:val="3A4A28"/>
          <w:sz w:val="20"/>
        </w:rPr>
        <w:t>Pan American Silver is the world's largest primary silver producer, operating mines across Chile, Peru, Brazil, Mexico, Canada, Argentina, Bolivia, and Guatemala. The company also produces gold, zinc, lead, and copper as by-products, with 2025 attributable silver production of 22.8 million ounces and gold production of 742,200 ounces.</w:t>
      </w:r>
    </w:p>
    <w:p>
      <w:r>
        <w:rPr>
          <w:rFonts w:ascii="Calibri" w:hAnsi="Calibri"/>
          <w:b/>
          <w:color w:val="6E8450"/>
          <w:sz w:val="18"/>
        </w:rPr>
        <w:t>9,348 Employees · https://www.panamericansilver.com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Pan American Silver's acquisition and integration of Yamana Gold's assets in 2023 was a transformative deal that expanded the company's gold production significantly, and operational optimization at Juanicipio and Cerro Moro has driven record 2025 results [1]. AI Deployment (0/2): No evidence of AI deployment in mining operations, exploration, or processing [1]. Market Share Leadership (2/2): Pan American Silver is the world's largest primary silver producer by volume, with operations spanning 8 countries and a diversified portfolio of 10+ operating mines [1]. Product Pipeline (1/2): La Colorada Skarn development (updated PEA expected Q2 2026), Jacobina optimization, and mine sequencing into higher silver grades at Cerro Moro provide visible growth, but these are incremental [1]. R&amp;D Intensity (1/1): Exploration spending is above average for precious metals producers, with active drilling programs across the portfolio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Pan American Silver's mission centers on responsible mining and sustainable operations, meaningful but primarily commercially focused without a distinctive societal vision [1]. Community Impact (2/2): The company operates in 8 countries with extensive community development programs, provides employment for 9,348 people in often remote and economically challenged regions, and has a long track record of community investment [1]. Employee Retention (1/2): A 9,348-person workforce across diverse geographies requires strong local management; retention data is not prominently disclosed [1]. Insider Buying (0/2): Three consecutive quarterly dividend increases signal board confidence, but specific insider buying data is not notable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Pan American Silver's financials are outstanding — D/E of 12.5% is extremely conservative, ROE of 16.7% exceeds the 15% target, and profit margin of 27.0% exceeds the 20% threshold [1]. Revenue surged 44.7% YoY to $3.62B with record net earnings of $980M ($2.56/share). Forward P/E of 10.5 is reasonably valued for a precious metals producer with growth optionality [1]. Silver production guided to grow 14% in 2026 (25-27M oz). Dividend yield of 1.09% is modest but growing with three consecutive increases, and the 18.0% payout ratio leaves substantial room for continued increases [1]. Daily dollar volume of ~$439M provides excellent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Pan American Silver's multi-decade mining heritage, conservative balance sheet, and phased approach to La Colorada Skarn development demonstrate patient, long-term thinking, though heavy dependence on precious metals prices introduces inherent cyclical vulnerability.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Responsible precious metals mining with community benefit is meaningful but primarily commercially motivated — Pan American's purpose is delivering shareholder returns through commodity production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across 8 countries with 9,348 employees requires strong local management and community trust; the record 2025 results suggest effective operational execution at all levels [1].</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Pan American competes against First Majestic, Hecla, and other silver producers, maintaining leadership through operational breadth, cost discipline, and the Yamana acquisition rather than destructive pricing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Yamana Gold acquisition, phased La Colorada Skarn approach, and active capital recycling demonstrate willingness to reshape the portfolio for long-term competitiveness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Yamana acquisition required conviction, and the decision to pursue a phased development approach for La Colorada Skarn shows disciplined capital allocation rather than reckless growth pursuit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Pan American Silver is the world's largest primary silver producer delivering record financial results — $3.62B revenue (+44.7%), $980M net earnings ($2.56/share), and record $554M Q4 operating cash flow in 2025 [1]. The company is positioned for continued growth with 2026 silver production guided up 14% (25-27M oz), $1.3B in cash and investments, and a nearly debt-free balance sheet (D/E 12.5%) [1]. At a forward P/E of 10.5x with ROE of 16.7% and 27% profit margins, PAAS is attractively valued. Three consecutive dividend increases and a conservative 18% payout ratio signal growing shareholder returns, while La Colorada Skarn and Jacobina optimization provide multi-year growth optionality. The structural case for silver — solar panel demand, EV adoption, and industrial applications — supports favorable long-term pricing [1].</w:t>
      </w:r>
    </w:p>
    <w:p>
      <w:pPr>
        <w:spacing w:after="120"/>
      </w:pPr>
      <w:r>
        <w:rPr>
          <w:rFonts w:ascii="Calibri" w:hAnsi="Calibri"/>
          <w:b w:val="0"/>
          <w:color w:val="3A4A28"/>
          <w:sz w:val="20"/>
        </w:rPr>
        <w:t>The primary risk is precious metals price dependency — PAAS's record 2025 results were driven by elevated silver and gold prices, and any meaningful decline would compress margins significantly [1]. 2026 silver segment AISC guidance of $15.75-18.25/oz is 67% higher than 2025's $9.51/oz, reflecting mine sequencing and cost inflation that could erode margins even at current prices. The stock has declined 29% from its $69.99 high, and production is weighted to H2 2026, creating a potentially weak first half. La Colorada Skarn development carries execution risk, and operations across 8 countries including Mexico, Argentina, and Bolivia carry geopolitical exposure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14% silver production growth to 25-27M ounces in 2026 with Juanicipio full-year contribution and higher Cerro Moro silver grades [1]</w:t>
      </w:r>
    </w:p>
    <w:p>
      <w:pPr>
        <w:spacing w:before="40" w:after="40"/>
        <w:ind w:left="283"/>
      </w:pPr>
      <w:r>
        <w:rPr>
          <w:rFonts w:ascii="Calibri" w:hAnsi="Calibri"/>
          <w:b/>
          <w:color w:val="4A6B25"/>
          <w:sz w:val="20"/>
        </w:rPr>
        <w:t xml:space="preserve">2. </w:t>
      </w:r>
      <w:r>
        <w:rPr>
          <w:rFonts w:ascii="Calibri" w:hAnsi="Calibri"/>
          <w:b w:val="0"/>
          <w:color w:val="3A4A28"/>
          <w:sz w:val="20"/>
        </w:rPr>
        <w:t>La Colorada Skarn updated PEA in Q2 2026 could unlock significant additional value in one of the world's largest polymetallic deposits [1]</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trajectory with three consecutive increases and only 18% payout ratio providing substantial room for increases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Precious metals price decline from current elevated levels would severely compress margins given 2026 AISC guidance of $15.75-18.25/oz for silver [1]</w:t>
      </w:r>
    </w:p>
    <w:p>
      <w:pPr>
        <w:spacing w:before="40" w:after="40"/>
        <w:ind w:left="283"/>
      </w:pPr>
      <w:r>
        <w:rPr>
          <w:rFonts w:ascii="Calibri" w:hAnsi="Calibri"/>
          <w:b/>
          <w:color w:val="4A6B25"/>
          <w:sz w:val="20"/>
        </w:rPr>
        <w:t xml:space="preserve">2. </w:t>
      </w:r>
      <w:r>
        <w:rPr>
          <w:rFonts w:ascii="Calibri" w:hAnsi="Calibri"/>
          <w:b w:val="0"/>
          <w:color w:val="3A4A28"/>
          <w:sz w:val="20"/>
        </w:rPr>
        <w:t>2026 AISC 67% higher than 2025 reflects mine sequencing and cost inflation that could erode profitability even at current prices [1]</w:t>
      </w:r>
    </w:p>
    <w:p>
      <w:pPr>
        <w:spacing w:before="40" w:after="40"/>
        <w:ind w:left="283"/>
      </w:pPr>
      <w:r>
        <w:rPr>
          <w:rFonts w:ascii="Calibri" w:hAnsi="Calibri"/>
          <w:b/>
          <w:color w:val="4A6B25"/>
          <w:sz w:val="20"/>
        </w:rPr>
        <w:t xml:space="preserve">3. </w:t>
      </w:r>
      <w:r>
        <w:rPr>
          <w:rFonts w:ascii="Calibri" w:hAnsi="Calibri"/>
          <w:b w:val="0"/>
          <w:color w:val="3A4A28"/>
          <w:sz w:val="20"/>
        </w:rPr>
        <w:t>Geopolitical risk across 8 countries including Mexico (regulatory changes), Argentina (currency), and Bolivia (political instability)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Precious metals mining is an inherently physical, capital-intensive, and geologically complex activity that AI cannot displace [1]. Silver and gold extraction requires massive physical infrastructure, specialized equipment, and geological expertise. The commodity nature of the product and diversified geographic operations provide additional resilience. AI Opportunity (0/1): Pan American Silver has not disclosed AI-driven mining optimization or exploration tools, though these represent future efficiency improvement opportunities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Pan American Silver Q4 and Full Year 2025 Earnings Release and 2026 Guidance, January-February 2026</w:t>
      </w:r>
    </w:p>
    <w:p>
      <w:pPr>
        <w:spacing w:before="20" w:after="20"/>
        <w:ind w:left="170"/>
      </w:pPr>
      <w:r>
        <w:rPr>
          <w:rFonts w:ascii="Calibri" w:hAnsi="Calibri"/>
          <w:b/>
          <w:color w:val="4A6B25"/>
          <w:sz w:val="15"/>
        </w:rPr>
        <w:t xml:space="preserve">2. </w:t>
      </w:r>
      <w:r>
        <w:rPr>
          <w:rFonts w:ascii="Calibri" w:hAnsi="Calibri"/>
          <w:b w:val="0"/>
          <w:color w:val="3A4A28"/>
          <w:sz w:val="17"/>
        </w:rPr>
        <w:t>Pan American Silver Investor Relations,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PAAS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