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PACB</w:t>
      </w:r>
      <w:r>
        <w:rPr>
          <w:rFonts w:ascii="Calibri" w:hAnsi="Calibri"/>
          <w:b/>
          <w:color w:val="1A2010"/>
          <w:sz w:val="40"/>
        </w:rPr>
        <w:t xml:space="preserve">  Pacific Biosciences of California, Inc.</w:t>
      </w:r>
    </w:p>
    <w:p>
      <w:pPr>
        <w:spacing w:after="120"/>
      </w:pPr>
      <w:r>
        <w:rPr>
          <w:rFonts w:ascii="Calibri" w:hAnsi="Calibri"/>
          <w:b/>
          <w:color w:val="6E8450"/>
          <w:sz w:val="18"/>
        </w:rPr>
        <w:t>GROWTH SLEEVE · 2026-03-28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Pacific Biosciences (PacBio) is a leader in long-read DNA sequencing technology, offering the Revio and Vega platforms for high-fidelity (HiFi) sequencing. The company serves research institutions, clinical laboratories, and pharmaceutical companies with instruments, consumables, and services for genomics applications including rare disease diagnosis, oncology, and population-scale sequencing.</w:t>
      </w:r>
    </w:p>
    <w:p>
      <w:r>
        <w:rPr>
          <w:rFonts w:ascii="Calibri" w:hAnsi="Calibri"/>
          <w:b/>
          <w:color w:val="6E8450"/>
          <w:sz w:val="18"/>
        </w:rPr>
        <w:t>600 Employees · https://www.pacb.com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PacBio launched two significant new platforms — Revio (high-throughput long-read) and Vega (benchtop) — representing a genuine product portfolio expansion that opened the clinical sequencing market. The sale of short-read IP to Illumina for $48.1M sharpened strategic focus on long-read leadership [1]. AI Deployment (1/2): PacBio collaborated with Google on ML-enhanced HiFi sequencing analysis and partnered with Basecamp Research (alongside Anthropic and NVIDIA) for the Trillion Gene Atlas, demonstrating AI integration in genomic data analysis [2]. However, no quantified AI-driven cost savings or revenue reported. Market Share (2/2): PacBio is the dominant long-read sequencing platform alongside Oxford Nanopore, with HiFi sequencing considered the gold standard for accuracy. Revio placements of 61 units and Vega placements of 140 units in 2025 show market adoption [1]. Pipeline (1/2): SPRQ-Nx chemistry development promises significantly lower sequencing costs, and CEO Henry stated it will 'catalyze our next phase of growth in 2026 and beyond,' but specific launch dates and revenue targets are vague [1]. R&amp;D Intensity (1/1): PacBio invests heavily in R&amp;D relative to its $160M revenue base — R&amp;D spending is a substantial portion of operating expenses, well above industry average for medical devices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PacBio's mission — 'to enable the promise of genomics to better human health' — is clear and identifies the company's purpose beyond profit, connecting sequencing technology to human health outcomes. However, it's not deeply distinctive among genomics companies. Community Impact (1/2): PacBio's participation in the Trillion Gene Atlas (100,000 samples from 31 countries) and support for rare disease diagnosis have genuine humanitarian implications, though the company's small scale limits community impact [2]. Employee Retention (0/2): Glassdoor reviews describe 'neverending rounds of layoffs,' with four major workforce reductions since 2023 (195 employees in 2024, 120 in 2025), destroying morale and driving out top talent [3]. Employees criticized 'narcissism' in leadership and poor communication during layoffs. Insider Buying (1/2): CEO Christian Henry has maintained equity exposure, and the strategic asset sale to Illumina ($48.1M) demonstrates capital discipline, but no significant net insider buying data was found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PacBio's financial profile reflects a pre-profitability life sciences company. D/E of 13,131.8% is extremely elevated (reflecting convertible debt against minimal equity), scoring 0 on that metric. ROE of -213.5% reflects deep ongoing losses — the company reported net losses of $78.2M in Q1 2024 alone [1]. Revenue grew 14% YoY in Q4 2025 to $44.6M with record consumables of $21.6M, and full-year 2025 revenue was $160M (4% growth), well below the original $500M+ 2026 target set in 2022 [1]. Forward P/E is negative (-3.05x), confirming expected continued losses. Profit margin is approximately 0% (negative). Revenue 5yr CAGR of ~15.2% is the one bright spot. Cash of $279.5M provides ~2 years of runway at current burn rates. Liquidity floor cleared at $8.7M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PacBio shows finite-game characteristics despite its scientific mission. The company is in survival mode — four rounds of layoffs in three years, massive cash burn, and a stock price down ~95% from peaks. While the underlying technology is visionary, the organization is playing to survive this quarter rather than building for decades. The revolving door of employees and serial restructuring undermine the kind of institutional resilience Sinek values.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 points). PacBio's purpose — enabling genomics to better human health — is authentic and connects sequencing technology to a meaningful future state. CEO Henry's vision for 'complete solutions from sample to data' reflects genuine intentionality. However, the cause has not been validated through crisis — rather, the company has struggled financially throughout its existence, and the original 2026 revenue target of $500M+ has been abandoned in favor of survival-mode cost cutting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(0 points). Four rounds of layoffs since 2023 (195 in 2024, 120 in 2025, 49 in late 2023) have devastated morale. Glassdoor reviews describe layoffs communicated via impersonal team calls, managers failing to reach out to affected employees, and allegations of structured layoffs designed to minimize WARN Act obligations [3]. Employees describe 'narcissism, nepotism' in leadership. This is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 points). PacBio's competitive framing against Oxford Nanopore Technologies and Illumina focuses heavily on technical superiority ('gold standard accuracy') rather than learning from rivals' strengths. The company sold short-read IP to Illumina, which could be interpreted as pragmatic flexibility but also as competitive retreat from a domain where rivals were winning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point). The strategic decision to sell short-read sequencing IP to Illumina ($48.1M) and focus exclusively on long-read HiFi technology represents meaningful portfolio narrowing. The Vega benchtop platform extends PacBio's reach from high-throughput research to clinical point-of-care applications [1]. However, these are incremental adaptations within the same core technology domain, not transformative pivots.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investment (0 points). PacBio's recent history is dominated by cost-cutting and survival — four rounds of layoffs, facility closures (San Diego), and workforce reductions of ~40% since 2023 [3]. While these may be necessary, they reflect a company managing decline rather than investing courageously in the future. The original $500M+ 2026 revenue ambition was quietly abandoned.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PacBio owns the gold-standard long-read sequencing technology (HiFi) at a time when AI-driven genomics is creating explosive demand for high-quality sequencing data. Q4 2025 revenue grew 14% YoY to $44.6M with record consumables of $21.6M, and the Basecamp Research Trillion Gene Atlas partnership (alongside Anthropic and NVIDIA) validates the platform for AI-scale applications [1][2]. The SPRQ-Nx chemistry promises to dramatically lower per-base sequencing costs, potentially catalyzing clinical adoption. At $1.26/share with a $380M market cap, the stock prices in significant distress — any inflection in clinical genomics adoption or a path to profitability could drive substantial upside. The $279.5M cash position provides approximately 2 years of runway, and the Illumina IP sale ($48.1M) demonstrates capital discipline [1].</w:t>
      </w:r>
    </w:p>
    <w:p>
      <w:pPr>
        <w:spacing w:after="120"/>
      </w:pPr>
      <w:r>
        <w:rPr>
          <w:rFonts w:ascii="Calibri" w:hAnsi="Calibri"/>
          <w:b w:val="0"/>
          <w:color w:val="3A4A28"/>
          <w:sz w:val="20"/>
        </w:rPr>
        <w:t>The bear case is severe and immediate. PacBio has burned through billions in cumulative losses since founding, with D/E of 13,131% reflecting a capital structure in crisis. Full-year 2025 revenue of $160M grew only 4%, a dramatic miss versus the original $500M+ 2026 target set in 2022 [1]. Barclays downgraded to Underweight in March 2026. Four rounds of layoffs since 2023 have reduced headcount by ~40%, destroying institutional knowledge and employee morale [3]. Oxford Nanopore Technologies is a formidable rival with a different technology approach that is gaining clinical traction. The company's path to positive cash flow (targeted end of 2026) requires both revenue acceleration and continued cost discipline — a challenging dual mandate. NIH funding uncertainty and tariff headwinds threaten the academic research customer base that represents a significant portion of instrument sales. The stock has declined ~95% from its 2021 peak of ~$30, reflecting a market that has lost confidence in the growth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SPRQ-Nx chemistry launch enabling dramatically lower sequencing costs, potentially catalyzing clinical adoption at scale and reigniting revenue growth [1]</w:t>
      </w:r>
    </w:p>
    <w:p>
      <w:pPr>
        <w:spacing w:before="40" w:after="40"/>
        <w:ind w:left="283"/>
      </w:pPr>
      <w:r>
        <w:rPr>
          <w:rFonts w:ascii="Calibri" w:hAnsi="Calibri"/>
          <w:b/>
          <w:color w:val="4A6B25"/>
          <w:sz w:val="20"/>
        </w:rPr>
        <w:t xml:space="preserve">2. </w:t>
      </w:r>
      <w:r>
        <w:rPr>
          <w:rFonts w:ascii="Calibri" w:hAnsi="Calibri"/>
          <w:b w:val="0"/>
          <w:color w:val="3A4A28"/>
          <w:sz w:val="20"/>
        </w:rPr>
        <w:t>AI-genomics convergence — the $12.5B AI-in-genomics market growing at 39.2% CAGR creates secular demand for PacBio's high-fidelity sequencing data [2]</w:t>
      </w:r>
    </w:p>
    <w:p>
      <w:pPr>
        <w:spacing w:before="40" w:after="40"/>
        <w:ind w:left="283"/>
      </w:pPr>
      <w:r>
        <w:rPr>
          <w:rFonts w:ascii="Calibri" w:hAnsi="Calibri"/>
          <w:b/>
          <w:color w:val="4A6B25"/>
          <w:sz w:val="20"/>
        </w:rPr>
        <w:t xml:space="preserve">3. </w:t>
      </w:r>
      <w:r>
        <w:rPr>
          <w:rFonts w:ascii="Calibri" w:hAnsi="Calibri"/>
          <w:b w:val="0"/>
          <w:color w:val="3A4A28"/>
          <w:sz w:val="20"/>
        </w:rPr>
        <w:t>Path to positive cash flow by end of 2026, which would transform the investment narrative from survival story to growth story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risk — $279.5M cash with ongoing losses; failure to reach positive cash flow by end of 2026 could force dilutive financing or strategic sale at distressed valuation [1]</w:t>
      </w:r>
    </w:p>
    <w:p>
      <w:pPr>
        <w:spacing w:before="40" w:after="40"/>
        <w:ind w:left="283"/>
      </w:pPr>
      <w:r>
        <w:rPr>
          <w:rFonts w:ascii="Calibri" w:hAnsi="Calibri"/>
          <w:b/>
          <w:color w:val="4A6B25"/>
          <w:sz w:val="20"/>
        </w:rPr>
        <w:t xml:space="preserve">2. </w:t>
      </w:r>
      <w:r>
        <w:rPr>
          <w:rFonts w:ascii="Calibri" w:hAnsi="Calibri"/>
          <w:b w:val="0"/>
          <w:color w:val="3A4A28"/>
          <w:sz w:val="20"/>
        </w:rPr>
        <w:t>Competitive displacement from Oxford Nanopore Technologies gaining clinical traction with lower-cost sequencing and real-time analysis capabilities [2]</w:t>
      </w:r>
    </w:p>
    <w:p>
      <w:pPr>
        <w:spacing w:before="40" w:after="40"/>
        <w:ind w:left="283"/>
      </w:pPr>
      <w:r>
        <w:rPr>
          <w:rFonts w:ascii="Calibri" w:hAnsi="Calibri"/>
          <w:b/>
          <w:color w:val="4A6B25"/>
          <w:sz w:val="20"/>
        </w:rPr>
        <w:t xml:space="preserve">3. </w:t>
      </w:r>
      <w:r>
        <w:rPr>
          <w:rFonts w:ascii="Calibri" w:hAnsi="Calibri"/>
          <w:b w:val="0"/>
          <w:color w:val="3A4A28"/>
          <w:sz w:val="20"/>
        </w:rPr>
        <w:t>NIH funding cuts and tariff headwinds threatening the academic research customer base that drives a significant portion of instrument placements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PacBio's core business is physical-world laboratory instrumentation and proprietary chemistry — AI cannot replicate the molecular biology of DNA sequencing. The instruments, reagents, and flow cells are hardware-centric products immune to software substitution. In fact, AI dramatically increases demand for genomic sequencing data — AI drug discovery, precision medicine, and large-scale genomics projects (like the Trillion Gene Atlas) all require more sequencing, not less [2]. The $12.5B AI-in-genomics market (growing at 39.2% CAGR) is a tailwind. AI Opportunity (1/1): PacBio generates revenue from AI-driven genomics applications — the Basecamp Research partnership with Anthropic and NVIDIA, Google ML collaboration for HiFi analysis, and increasing clinical AI applications all create AI-enabled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PacBio Q4 &amp; Full-Year 2025 Preliminary Revenue Announcement — $160M full-year revenue, $44.6M Q4, 14% Q4 growth, January 2026</w:t>
      </w:r>
    </w:p>
    <w:p>
      <w:pPr>
        <w:spacing w:before="20" w:after="20"/>
        <w:ind w:left="170"/>
      </w:pPr>
      <w:r>
        <w:rPr>
          <w:rFonts w:ascii="Calibri" w:hAnsi="Calibri"/>
          <w:b/>
          <w:color w:val="4A6B25"/>
          <w:sz w:val="15"/>
        </w:rPr>
        <w:t xml:space="preserve">2. </w:t>
      </w:r>
      <w:r>
        <w:rPr>
          <w:rFonts w:ascii="Calibri" w:hAnsi="Calibri"/>
          <w:b w:val="0"/>
          <w:color w:val="3A4A28"/>
          <w:sz w:val="17"/>
        </w:rPr>
        <w:t>PacBio Press Releases, GenomeWeb — Basecamp Research Trillion Gene Atlas partnership, Google ML collaboration, AI-genomics market data, 2025-2026</w:t>
      </w:r>
    </w:p>
    <w:p>
      <w:pPr>
        <w:spacing w:before="20" w:after="20"/>
        <w:ind w:left="170"/>
      </w:pPr>
      <w:r>
        <w:rPr>
          <w:rFonts w:ascii="Calibri" w:hAnsi="Calibri"/>
          <w:b/>
          <w:color w:val="4A6B25"/>
          <w:sz w:val="15"/>
        </w:rPr>
        <w:t xml:space="preserve">3. </w:t>
      </w:r>
      <w:r>
        <w:rPr>
          <w:rFonts w:ascii="Calibri" w:hAnsi="Calibri"/>
          <w:b w:val="0"/>
          <w:color w:val="3A4A28"/>
          <w:sz w:val="17"/>
        </w:rPr>
        <w:t>MedTech Dive, Endpoints News, Glassdoor — PacBio layoffs (195 in 2024, 120 in 2025), employee reviews, restructuring,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PACB (Pacific Biosciences),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