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PACS</w:t>
      </w:r>
      <w:r>
        <w:rPr>
          <w:rFonts w:ascii="Calibri" w:hAnsi="Calibri"/>
          <w:b/>
          <w:color w:val="1A2010"/>
          <w:sz w:val="40"/>
        </w:rPr>
        <w:t xml:space="preserve">  PACS Group, Inc.</w:t>
      </w:r>
    </w:p>
    <w:p>
      <w:pPr>
        <w:spacing w:after="120"/>
      </w:pPr>
      <w:r>
        <w:rPr>
          <w:rFonts w:ascii="Calibri" w:hAnsi="Calibri"/>
          <w:b/>
          <w:color w:val="6E8450"/>
          <w:sz w:val="18"/>
        </w:rPr>
        <w:t>GROWTH SLEEVE · 2026-05-05 · Inspire: 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PACS Group operates skilled nursing facilities, assisted living facilities, and senior care communities across 17 states with 323 post-acute care facilities. The company acquires, owns, and leases healthcare properties, providing the full continuum of post-acute care including rehabilitation, long-term care, and ancillary services.</w:t>
      </w:r>
    </w:p>
    <w:p>
      <w:r>
        <w:rPr>
          <w:rFonts w:ascii="Calibri" w:hAnsi="Calibri"/>
          <w:b/>
          <w:color w:val="6E8450"/>
          <w:sz w:val="18"/>
        </w:rPr>
        <w:t>47,455 Employees · https://pacs.com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PACS has grown from a regional operator to a national platform with 323 facilities across 17 states through disciplined acquisitions, generating 29.3% revenue growth in 2025 to $5.29B [1]. The IPO in 2024 and rapid national expansion represent meaningful business model scaling. AI Deployment (1/2): PACS has invested in AI-powered tools and cloud-based solutions for operational efficiency in healthcare delivery, though no specific revenue or cost savings figures have been disclosed [3]. Market Share (1/2): PACS is a meaningful player in post-acute care but not a dominant leader in the highly fragmented skilled nursing facility market. The company operates ~323 facilities in a market with thousands of operators. Pipeline (1/2): 2026 guidance targets $5.65-5.75B revenue (8% growth) with $555-575M adjusted EBITDA, plus continued acquisition pipeline for facility expansion [1]. R&amp;D Intensity (0/1): As a healthcare operator, PACS does not have traditional R&amp;D spend; investment goes toward facility acquisition and operational improvement.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PACS Group's mission centers on providing quality post-acute care and building the continuum of care for patients. It is clear but not transformative — standard for healthcare facility operators without articulating a distinctive vision of the future of care delivery. Community Impact (1/2): With 47,455 employees across 17 states, PACS is a significant community employer in healthcare, and its facilities serve elderly and post-acute populations with essential care services [4]. The company's growth creates healthcare jobs in local communities. Employee Retention (1/2): Glassdoor rating of 3.1/5 with 4.3/5 for senior management suggests adequate but not exceptional culture; some reviews cite concerns about business practices and unqualified regional leaders [3]. Insider Buying (1/2): CEO Jason Murray founded the company and maintains significant equity exposure as co-founder; co-founder CFO Mark Hancock recently announced retirement [5], suggesting transition rather than abandonment.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PACS demonstrates strong growth-stage financial metrics despite high leverage from its acquisition-heavy strategy. Forward P/E of 13.8x is attractive for a company growing revenue 29% in FY2025 and guiding 8% organic growth for 2026 [1]. ROE of 23.0% exceeds the 15% target, and 3-year revenue CAGR of 29.7% ($2.42B to $5.29B) far exceeds the 10% target [4]. The PEG ratio of 1.02 is nearly at the 1.0 target. The primary weakness is extreme leverage: D/E of 378% is above the 300% floor, scoring 0 on that metric, reflecting the debt-funded acquisition strategy. Profit margin of 3.6% is typical for facility operators but well below the 20% target. Liquidity easily cleared at $27.9M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PACS Group under founder/CEO Jason Murray has built a national platform through patient acquisition and integration, suggesting long-term thinking. However, the rapid debt-fueled expansion and some Glassdoor concerns about business ethics create tension between building to endure and growing to dominate. The shift to organic growth in 2026 guidance signals maturation.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PACS has a genuine purpose in providing quality post-acute care to elderly and recovering patients, with CEO Murray's 20+ year career in healthcare administration suggesting authentic commitment [5]. The cause is distinctive in connecting business growth to expanding access to care, though it has not been tested through major adversity beyond normal operational challenges.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PACS employs 47,455 people across 323 facilities, and founder CEO Murray has led since 2013 providing leadership consistency [5]. However, Glassdoor reviews (3.1/5) cite concerns about 'unethical business practices' and unqualified regional management, suggesting uneven trust across the large organization [3]. Senior management rated 4.3/5 indicates headquarters trust but field-level challenges exist.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PACS operates in a highly competitive post-acute care market alongside Ensign Group, Sabra Health Care REIT, and others. The company's shift from acquisition-led growth to organic growth with margin expansion in 2026 suggests learning from peers who have achieved sustainable operational excellence [1]. Management language focuses on 'integration' and 'disciplined capital allocation' rather than defeating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PACS has executed one strategy — acquiring and operating post-acute care facilities — since founding. There is no evidence of transformative pivots or willingness to abandon the core model. The company is still early in its public life (IPO 2024) and has not yet faced the kind of industry disruption that would test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Murray earned 2023 EY Mountain West Entrepreneur of the Year for building PACS from scratch to a national platform [5]. The decision to pursue IPO in 2024 and the willingness to take on significant debt to build scale show conviction. However, the aggressive leverage strategy (378% D/E) prioritizes growth speed over financial conservatism, which could be viewed as finite-game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PACS Group is a rapidly scaling post-acute care platform generating $5.29B revenue (up 29% YoY in FY2025) with a clear path to continued growth through both acquisition and organic margin expansion [1]. At 13.8x forward P/E with 57% EPS growth and PEG of 1.02, the stock offers compelling value for a healthcare operator with 47,455 employees across 323 facilities in 17 states [4]. The 2026 guidance of $5.65-5.75B revenue and $555-575M adjusted EBITDA demonstrates management's confidence in sustainable growth [1]. The business is AI-immune given its physical care delivery model, and the post-acute care market benefits from aging demographics driving structural demand growth.</w:t>
      </w:r>
    </w:p>
    <w:p>
      <w:pPr>
        <w:spacing w:after="120"/>
      </w:pPr>
      <w:r>
        <w:rPr>
          <w:rFonts w:ascii="Calibri" w:hAnsi="Calibri"/>
          <w:b w:val="0"/>
          <w:color w:val="3A4A28"/>
          <w:sz w:val="20"/>
        </w:rPr>
        <w:t>The bear case centers on extreme leverage and operational risk: D/E of 378% reflects an acquisition-heavy strategy that leaves no margin for error in a rising rate environment [4]. Profit margins of only 3.6% mean small operational missteps can eliminate profitability. The healthcare industry faces chronic labor shortages for nurses and caregivers, regulatory risk from CMS reimbursement changes, and state-level survey/compliance scrutiny. Glassdoor reviews citing 'unethical business practices' and the company being 'under investigation' suggest potential governance concerns that could surface as material liabilities [3]. The transition from 29% revenue growth to 8% guided growth in 2026 may disappoint growth investors. Co-founder CFO Hancock's retirement creates leadership transition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organic growth execution — achieving $555-575M adjusted EBITDA guidance would validate margin expansion thesis without acquisition dependence [1]</w:t>
      </w:r>
    </w:p>
    <w:p>
      <w:pPr>
        <w:spacing w:before="40" w:after="40"/>
        <w:ind w:left="283"/>
      </w:pPr>
      <w:r>
        <w:rPr>
          <w:rFonts w:ascii="Calibri" w:hAnsi="Calibri"/>
          <w:b/>
          <w:color w:val="4A6B25"/>
          <w:sz w:val="20"/>
        </w:rPr>
        <w:t xml:space="preserve">2. </w:t>
      </w:r>
      <w:r>
        <w:rPr>
          <w:rFonts w:ascii="Calibri" w:hAnsi="Calibri"/>
          <w:b w:val="0"/>
          <w:color w:val="3A4A28"/>
          <w:sz w:val="20"/>
        </w:rPr>
        <w:t>Aging US demographics driving structural demand for skilled nursing facilities — 10,000 baby boomers turning 65 daily creates a secular tailwind for post-acute care</w:t>
      </w:r>
    </w:p>
    <w:p>
      <w:pPr>
        <w:spacing w:before="40" w:after="40"/>
        <w:ind w:left="283"/>
      </w:pPr>
      <w:r>
        <w:rPr>
          <w:rFonts w:ascii="Calibri" w:hAnsi="Calibri"/>
          <w:b/>
          <w:color w:val="4A6B25"/>
          <w:sz w:val="20"/>
        </w:rPr>
        <w:t xml:space="preserve">3. </w:t>
      </w:r>
      <w:r>
        <w:rPr>
          <w:rFonts w:ascii="Calibri" w:hAnsi="Calibri"/>
          <w:b w:val="0"/>
          <w:color w:val="3A4A28"/>
          <w:sz w:val="20"/>
        </w:rPr>
        <w:t>Successful integration of 2024-2025 acquisitions improving same-store occupancy rates and skilled mix revenue per patient day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D/E of 378% leaves no margin for error; rising interest rates or acquisition integration failures could stress debt service capacity [4]</w:t>
      </w:r>
    </w:p>
    <w:p>
      <w:pPr>
        <w:spacing w:before="40" w:after="40"/>
        <w:ind w:left="283"/>
      </w:pPr>
      <w:r>
        <w:rPr>
          <w:rFonts w:ascii="Calibri" w:hAnsi="Calibri"/>
          <w:b/>
          <w:color w:val="4A6B25"/>
          <w:sz w:val="20"/>
        </w:rPr>
        <w:t xml:space="preserve">2. </w:t>
      </w:r>
      <w:r>
        <w:rPr>
          <w:rFonts w:ascii="Calibri" w:hAnsi="Calibri"/>
          <w:b w:val="0"/>
          <w:color w:val="3A4A28"/>
          <w:sz w:val="20"/>
        </w:rPr>
        <w:t>Regulatory and compliance risk — healthcare facilities face CMS reimbursement cuts, state survey deficiencies, and potential investigations flagged in employee reviews [3]</w:t>
      </w:r>
    </w:p>
    <w:p>
      <w:pPr>
        <w:spacing w:before="40" w:after="40"/>
        <w:ind w:left="283"/>
      </w:pPr>
      <w:r>
        <w:rPr>
          <w:rFonts w:ascii="Calibri" w:hAnsi="Calibri"/>
          <w:b/>
          <w:color w:val="4A6B25"/>
          <w:sz w:val="20"/>
        </w:rPr>
        <w:t xml:space="preserve">3. </w:t>
      </w:r>
      <w:r>
        <w:rPr>
          <w:rFonts w:ascii="Calibri" w:hAnsi="Calibri"/>
          <w:b w:val="0"/>
          <w:color w:val="3A4A28"/>
          <w:sz w:val="20"/>
        </w:rPr>
        <w:t>Labor cost inflation — 47,455 employees in a tight healthcare labor market means wage pressure directly compresses already-thin 3.6% profit margins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PACS Group operates physical skilled nursing facilities and assisted living communities — businesses that require hands-on human care for elderly and post-acute patients [4]. AI cannot replace nurses providing physical rehabilitation, administering medications, assisting with daily living activities, or providing companionship to residents. The business involves heavily regulated healthcare operations, physical real estate, and human touch that are structurally immune to AI substitution. If anything, AI may increase demand by enabling earlier hospital discharge to post-acute facilities. AI Opportunity (0/1): PACS has invested in AI tools for operational efficiency but has not reported quantifiable AI-driven revenue or disclosed specific cost savings figures from AI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PACS Group Q4 2025 Earnings Release — FY2025 revenue $5.29B (up 29.3%), Q4 adjusted EBITDA $142.1M; 2026 guidance: revenue $5.65-5.75B, EBITDA $555-575M</w:t>
      </w:r>
    </w:p>
    <w:p>
      <w:pPr>
        <w:spacing w:before="20" w:after="20"/>
        <w:ind w:left="170"/>
      </w:pPr>
      <w:r>
        <w:rPr>
          <w:rFonts w:ascii="Calibri" w:hAnsi="Calibri"/>
          <w:b/>
          <w:color w:val="4A6B25"/>
          <w:sz w:val="15"/>
        </w:rPr>
        <w:t xml:space="preserve">2. </w:t>
      </w:r>
      <w:r>
        <w:rPr>
          <w:rFonts w:ascii="Calibri" w:hAnsi="Calibri"/>
          <w:b w:val="0"/>
          <w:color w:val="3A4A28"/>
          <w:sz w:val="17"/>
        </w:rPr>
        <w:t>Seeking Alpha — 'PACS Group outlines 8% revenue growth target for 2026 as integration drives record year',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PACS Group reviews: 3.1/5 overall rating, 4.3/5 senior management; employee concerns about business practices noted</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PACS (PACS Group), retrieved May 5, 2026 — price $32.52, forward PE 13.78, D/E 378%, ROE 23%</w:t>
      </w:r>
    </w:p>
    <w:p>
      <w:pPr>
        <w:spacing w:before="20" w:after="20"/>
        <w:ind w:left="170"/>
      </w:pPr>
      <w:r>
        <w:rPr>
          <w:rFonts w:ascii="Calibri" w:hAnsi="Calibri"/>
          <w:b/>
          <w:color w:val="4A6B25"/>
          <w:sz w:val="15"/>
        </w:rPr>
        <w:t xml:space="preserve">5. </w:t>
      </w:r>
      <w:r>
        <w:rPr>
          <w:rFonts w:ascii="Calibri" w:hAnsi="Calibri"/>
          <w:b w:val="0"/>
          <w:color w:val="3A4A28"/>
          <w:sz w:val="17"/>
        </w:rPr>
        <w:t>PACS Group IR — Management Team: CEO Jason Murray (co-founder since 2013), 2023 EY Mountain West Entrepreneur of the Year; CFO Mark Hancock retirement announced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