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PARR</w:t>
      </w:r>
      <w:r>
        <w:rPr>
          <w:rFonts w:ascii="Calibri" w:hAnsi="Calibri"/>
          <w:b/>
          <w:color w:val="1A2010"/>
          <w:sz w:val="40"/>
        </w:rPr>
        <w:t xml:space="preserve">  Par Pacific Holdings, Inc.</w:t>
      </w:r>
    </w:p>
    <w:p>
      <w:pPr>
        <w:spacing w:after="120"/>
      </w:pPr>
      <w:r>
        <w:rPr>
          <w:rFonts w:ascii="Calibri" w:hAnsi="Calibri"/>
          <w:b/>
          <w:color w:val="6E8450"/>
          <w:sz w:val="18"/>
        </w:rPr>
        <w:t>GROWTH SLEEVE · 2026-04-29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United States</w:t>
      </w:r>
    </w:p>
    <w:p>
      <w:pPr>
        <w:spacing w:after="80"/>
      </w:pPr>
      <w:r>
        <w:rPr>
          <w:rFonts w:ascii="Calibri" w:hAnsi="Calibri"/>
          <w:b w:val="0"/>
          <w:color w:val="3A4A28"/>
          <w:sz w:val="20"/>
        </w:rPr>
        <w:t>Par Pacific Holdings, Inc. is an energy company that provides renewable and conventional fuels in the United States. It operates through Refining, Retail, and Logistics segments, with refineries in Hawaii, Montana, Wyoming, and Washington, plus convenience stores under the Hele, 76, and nomnom brands.</w:t>
      </w:r>
    </w:p>
    <w:p>
      <w:r>
        <w:rPr>
          <w:rFonts w:ascii="Calibri" w:hAnsi="Calibri"/>
          <w:b/>
          <w:color w:val="6E8450"/>
          <w:sz w:val="18"/>
        </w:rPr>
        <w:t>1,758 Employees · https://www.parpacific.com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Par Pacific achieved record annual refining throughput of 188,000 bpd in 2025, and formed Hawaii Renewables LLC, a joint venture to build a renewable fuels facility expected to begin operations in H1 2026 — a significant strategic extension into sustainable fuels [1]. AI Deployment (0/2): No evidence of AI-powered products or quantified AI-driven cost savings; the company is evaluating cloud software and emerging technologies but nothing deployed with measurable results. Market Share (2/2): PARR operates the only refinery in Hawaii and holds dominant fuel supply positions in its island and intermountain markets, providing structural geographic advantages that insulate it from broader competitive pressures [1]. Product Pipeline (1/2): The Hawaii Renewables JV represents a specific next-gen initiative with a defined H1 2026 launch timeline, though revenue visibility remains limited. R&amp;D Intensity (0/1): Refining is a capital-intensive rather than R&amp;D-intensive business; PARR's spending is focused on throughput optimization and maintenance rather than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Par Pacific's stated purpose is to be a leading provider of energy products and services — a generic industry mission that could describe any refiner. No distinctive articulation of why the company exists beyond fuel supply. Community Impact (1/2): Through its Hawaii operations and Hele retail brand, PARR is a significant employer and fuel provider in island communities; two refineries earned U.S. EPA ENERGY STAR certification in 2023 for energy efficiency, demonstrating some community-aligned operational excellence [3]. Employee Retention (0/2): Glassdoor reviews describe 50-60 hour work weeks as standard, mixed culture signals, and concerns the company is 'stuck in the past' — no evidence of above-average retention or mission-driven employee loyalty [2]. Insider Buying (1/2): Vanguard and other institutional holders adjusted positions in 2025-2026, and the company executed meaningful share buybacks, though specific insider buying by executives was not confirmed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financial metrics. Core strengths include a low Forward P/E of 9.3 (perfect score), strong ROE of 26.8% (capped at 1.0), and manageable D/E of 79.2% (0.96 score). Weaknesses include a thin profit margin of 4.9% (0.25 score) and slight revenue decline of -1% YoY (0.63 score). Estimated 5yr revenue CAGR of ~4.5% scores 0.63. PEG ratio unavailable, excluded from calculation. Liquidity check: avg volume 1.4M x $62.61 = $87.7M, well above the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Par Pacific shows elements of both infinite and finite game thinking. The Hawaii Renewables JV demonstrates existential flexibility — investing in sustainable fuels while the core refining business remains profitable. However, leadership transitions (CEO change in 2024), employee culture concerns, and a focus on quarterly throughput metrics suggest the company still prioritizes near-term operational performance over long-term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PARR's purpose is to supply essential energy to communities, particularly in Hawaii and the intermountain West. This is a legitimate service but not a Just Cause in Sinek's definition — it describes what the company does rather than envisioning a better future. The Hawaii Renewables JV hints at a broader energy transition vision, but it's one project rather than a defining purpose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describe a mixed culture — some employees praise 'transparent executive leadership' and 'wonderful culture focused on sharing knowledge,' while others report expectations of 50-60 hour work weeks and a company 'stuck in the past and terrified of change.' The CEO transition from William Pate to Will Monteleone in 2024 was orderly, suggesting organizational stability, but there's no evidence of exceptional trust or empowerment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PARR's competitive positioning relies on geographic moats (sole Hawaii refinery) rather than learning from rivals. Competitive language in earnings calls focuses on throughput records and margin capture rather than improvement inspired by competitors like Valero or PBF Energy.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formation of Hawaii Renewables LLC demonstrates meaningful strategic flexibility — investing in renewable fuels while the core refining business is still profitable. This is a forward-looking bet on the energy transition rather than a defensive reaction. However, it's an adjacent expansion rather than a transformative reinvention of the business model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PARR invested in the Hawaii Renewables JV during a period of strong refining margins, choosing to allocate capital toward renewable fuels rather than maximizing short-term shareholder returns. The company also executed an orderly CEO succession in 2024, promoting from within rather than making a reactive external hire. However, the scale of long-term investment relative to total capital allocation remains modest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Par Pacific offers a compelling value play in the energy refining sector, trading at a forward P/E of just 9.3x with strong ROE of 26.8% and record throughput of 188,000 bpd in 2025. The company generated full-year adjusted EBITDA of $634M and adjusted net income of $7.56/share, swinging from a net loss in 2024 to $369M net income in 2025 [1]. Geographic moats — the sole refinery in Hawaii plus strategic intermountain locations — provide pricing power and demand stability that mainland refiners lack. The Hawaii Renewables JV positions PARR for the energy transition with operations expected in H1 2026.</w:t>
      </w:r>
    </w:p>
    <w:p>
      <w:pPr>
        <w:spacing w:after="120"/>
      </w:pPr>
      <w:r>
        <w:rPr>
          <w:rFonts w:ascii="Calibri" w:hAnsi="Calibri"/>
          <w:b w:val="0"/>
          <w:color w:val="3A4A28"/>
          <w:sz w:val="20"/>
        </w:rPr>
        <w:t>The bear case centers on the cyclicality of crack spreads and refining margins, which drove the 2025 rebound but could reverse. Analyst EPS estimates for Q2-Q3 2026 ($0.86 and $1.30 respectively) imply significantly lower earnings than the $7.56 adjusted EPS achieved in 2025, suggesting margin normalization is already expected [1]. The balance sheet carries $1.23B in debt against $164M cash, and the company's thin 4.9% profit margin leaves little room for error during margin compression cycles. Rising EV adoption and tighter emissions regulations pose secular threats to fuel demand, particularly in Hawaii where state policy favors clean energy. Employee culture concerns and a 'stuck in the past' reputation could hinder talent acquisition as the industry evolves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Hawaii Renewables JV expected to begin operations in H1 2026, providing renewable fuel revenue diversification and potential regulatory credits</w:t>
      </w:r>
    </w:p>
    <w:p>
      <w:pPr>
        <w:spacing w:before="40" w:after="40"/>
        <w:ind w:left="283"/>
      </w:pPr>
      <w:r>
        <w:rPr>
          <w:rFonts w:ascii="Calibri" w:hAnsi="Calibri"/>
          <w:b/>
          <w:color w:val="4A6B25"/>
          <w:sz w:val="20"/>
        </w:rPr>
        <w:t xml:space="preserve">2. </w:t>
      </w:r>
      <w:r>
        <w:rPr>
          <w:rFonts w:ascii="Calibri" w:hAnsi="Calibri"/>
          <w:b w:val="0"/>
          <w:color w:val="3A4A28"/>
          <w:sz w:val="20"/>
        </w:rPr>
        <w:t>Record refining throughput of 188,000 bpd demonstrates improved operational reliability across all sites, which could sustain higher earnings in favorable margin environments</w:t>
      </w:r>
    </w:p>
    <w:p>
      <w:pPr>
        <w:spacing w:before="40" w:after="40"/>
        <w:ind w:left="283"/>
      </w:pPr>
      <w:r>
        <w:rPr>
          <w:rFonts w:ascii="Calibri" w:hAnsi="Calibri"/>
          <w:b/>
          <w:color w:val="4A6B25"/>
          <w:sz w:val="20"/>
        </w:rPr>
        <w:t xml:space="preserve">3. </w:t>
      </w:r>
      <w:r>
        <w:rPr>
          <w:rFonts w:ascii="Calibri" w:hAnsi="Calibri"/>
          <w:b w:val="0"/>
          <w:color w:val="3A4A28"/>
          <w:sz w:val="20"/>
        </w:rPr>
        <w:t>Geographic monopoly in Hawaii refining provides structural pricing power and demand resilience unmatched by mainland refiners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Crack spread compression from current elevated levels — analyst Q2-Q3 2026 EPS estimates of $0.86-$1.30 per quarter imply significant margin normalization from 2025 peak</w:t>
      </w:r>
    </w:p>
    <w:p>
      <w:pPr>
        <w:spacing w:before="40" w:after="40"/>
        <w:ind w:left="283"/>
      </w:pPr>
      <w:r>
        <w:rPr>
          <w:rFonts w:ascii="Calibri" w:hAnsi="Calibri"/>
          <w:b/>
          <w:color w:val="4A6B25"/>
          <w:sz w:val="20"/>
        </w:rPr>
        <w:t xml:space="preserve">2. </w:t>
      </w:r>
      <w:r>
        <w:rPr>
          <w:rFonts w:ascii="Calibri" w:hAnsi="Calibri"/>
          <w:b w:val="0"/>
          <w:color w:val="3A4A28"/>
          <w:sz w:val="20"/>
        </w:rPr>
        <w:t>Balance sheet leverage of $1.23B debt with 79.2% D/E ratio limits financial flexibility during refining downturns and could trigger covenant concerns</w:t>
      </w:r>
    </w:p>
    <w:p>
      <w:pPr>
        <w:spacing w:before="40" w:after="40"/>
        <w:ind w:left="283"/>
      </w:pPr>
      <w:r>
        <w:rPr>
          <w:rFonts w:ascii="Calibri" w:hAnsi="Calibri"/>
          <w:b/>
          <w:color w:val="4A6B25"/>
          <w:sz w:val="20"/>
        </w:rPr>
        <w:t xml:space="preserve">3. </w:t>
      </w:r>
      <w:r>
        <w:rPr>
          <w:rFonts w:ascii="Calibri" w:hAnsi="Calibri"/>
          <w:b w:val="0"/>
          <w:color w:val="3A4A28"/>
          <w:sz w:val="20"/>
        </w:rPr>
        <w:t>Secular decline in fossil fuel demand driven by EV adoption and Hawaii's aggressive clean energy mandates threatening long-term refining volumes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refining is a physical-world, capital-intensive, heavily regulated industry that AI structurally cannot displace. PARR's core business involves converting crude oil into transportation fuels through complex chemical processes at physical refineries — this requires massive infrastructure, regulatory permits, and operational expertise that AI cannot substitute [1]. The company's geographic moats (only refinery in Hawaii, intermountain facilities) add further insulation. The primary long-term threat is not AI but the energy transition to EVs and renewables, which PARR is addressing through its Hawaii Renewables JV. AI Opportunity (0/1): No meaningful AI-related revenue. PARR is exploring cloud and emerging technology adoption but generates zero revenue from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Par Pacific Reports Fourth Quarter and 2025 Results, Press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Par Pacific Holdings Glassdoor Reviews and Leadership Profiles,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Par Pacific Sustainability Reports and EPA ENERGY STAR Certification, 2023</w:t>
      </w:r>
    </w:p>
    <w:p>
      <w:pPr>
        <w:spacing w:before="20" w:after="20"/>
        <w:ind w:left="170"/>
      </w:pPr>
      <w:r>
        <w:rPr>
          <w:rFonts w:ascii="Calibri" w:hAnsi="Calibri"/>
          <w:b/>
          <w:color w:val="4A6B25"/>
          <w:sz w:val="15"/>
        </w:rPr>
        <w:t xml:space="preserve">4. </w:t>
      </w:r>
      <w:r>
        <w:rPr>
          <w:rFonts w:ascii="Calibri" w:hAnsi="Calibri"/>
          <w:b w:val="0"/>
          <w:color w:val="3A4A28"/>
          <w:sz w:val="17"/>
        </w:rPr>
        <w:t>Yahoo Finance — PARR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