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PAR</w:t>
      </w:r>
      <w:r>
        <w:rPr>
          <w:rFonts w:ascii="Calibri" w:hAnsi="Calibri"/>
          <w:b/>
          <w:color w:val="1A2010"/>
          <w:sz w:val="40"/>
        </w:rPr>
        <w:t xml:space="preserve">  PAR Technology Corporation</w:t>
      </w:r>
    </w:p>
    <w:p>
      <w:pPr>
        <w:spacing w:after="120"/>
      </w:pPr>
      <w:r>
        <w:rPr>
          <w:rFonts w:ascii="Calibri" w:hAnsi="Calibri"/>
          <w:b/>
          <w:color w:val="6E8450"/>
          <w:sz w:val="18"/>
        </w:rPr>
        <w:t>GROWTH SLEEVE · 2026-04-24 · Inspire: 58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PAR Technology Corporation provides omnichannel cloud-based software and hardware solutions for the restaurant and retail industries worldwide. Products include Brink POS, Punchh loyalty, PAR Ordering, PAR Payment, and PAR Retail platforms serving major quick-service and fast-casual restaurant brands.</w:t>
      </w:r>
    </w:p>
    <w:p>
      <w:r>
        <w:rPr>
          <w:rFonts w:ascii="Calibri" w:hAnsi="Calibri"/>
          <w:b/>
          <w:color w:val="6E8450"/>
          <w:sz w:val="18"/>
        </w:rPr>
        <w:t>1,800 Employees · https://www.partech.com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PAR has executed a successful multi-year transformation from a legacy hardware company to a cloud software platform under CEO Savneet Singh, earning 2 points on innovation track record — revenue grew from $262M in 2022 to $456M in 2025 with ARR reaching $315M [1]. PAR launched PAR Intelligence, an AI-powered analytics platform for restaurant operators, earning 1 point on AI deployment [4]. The company holds meaningful market share in enterprise restaurant technology with major clients like Burger King, but is not the dominant category leader (1 point). The pipeline includes continued BK rollout and PAR Retail expansion with specific timelines (1 point). R&amp;D spending is strong relative to restaurant tech peers but the company remains unprofitable (1 point).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PAR's mission to 'unify the restaurant experience' through an integrated technology platform is clear and specific to its domain, earning a mission floor of 2 [3]. CEO Singh's turnaround narrative — taking a company from $3.4M cash and DOJ investigations to a $3B tech leader — is genuinely inspiring and demonstrates deep commitment to the cause [3]. Community impact evidence is limited (0 points). Glassdoor reviews rate culture at 3.7/5 with mixed sentiment about organizational stability and 'chaotic' leadership changes (0 points on retention) [5]. Insider activity shows heavy net selling by CEO Singh and CFO Menar in early 2026, offset partially by Voss Capital's $21.8M in purchases — net result is mixed at best (0 points)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PAR's infrastructure score benefits from exceptional growth metrics: 30.2% YoY revenue growth, 20.2% 3-year revenue CAGR, and an attractive forward PEG of 0.77 [1][2]. D/E of 48.8% is conservative, and forward P/E of 12.0x is deeply discounted relative to software peers, reflecting market skepticism about profitability. The critical weakness is profitability — profit margin is negative at -18.5% and ROE is -10%, dragging the score significantly. The $100M share repurchase program signals management confidence in the valuation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PAR Technology under CEO Savneet Singh demonstrates strong infinite-game characteristics through its transformative pivot from hardware to cloud software and its long-term vision to unify restaurant technology, though the company's relatively short track record in its current form limits the evidence of sustained purpose.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PAR's vision to become the unified technology platform for the restaurant industry is specific, service-oriented, and connects to a larger purpose of empowering restaurant operators [3]. Singh's turnaround narrative — rescuing a company from near-bankruptcy and rebuilding it around a Just Cause — demonstrates genuine commitment. However, the cause has only been tested over 7 years under Singh's leadership, not decades, preventing a full 3 points. Score: 2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PAR's culture under Singh rewards 'speed, ownership, and winning' with Glassdoor rating 3.7/5 for culture and values [5]. Multiple reviews cite 'chaotic' organizational changes and frequently shifting leadership structure, suggesting an environment prioritizing agility over stability. The 1,800-person workforce is relatively small and Singh has maintained leadership continuity at the top. Score: 1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PAR actively acknowledges competitors like Toast, Oracle MICROS, and NCR as worthy rivals whose strengths push PAR to improve its unified platform approach. Management's language focuses on building the best product for enterprise restaurants rather than destroying competitors, and Singh has publicly cited learning from rivals' strengths in product development [3]. Score: 1 point.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PAR's transformation from a struggling hardware company to a cloud software platform represents a textbook example of existential flexibility. Singh abandoned the legacy hardware-centric model, pivoted to SaaS, and executed a series of strategic acquisitions (Brink POS, Punchh, MENU) that fundamentally redefined the company [3]. The pivot was driven by a vision for the restaurant technology future, not desperation. Score: 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Singh took over a company facing DOJ investigations, activist investors, and near-zero cash reserves and made costly bets on cloud transformation that diluted shareholders and compressed margins for years [3]. The willingness to remain unprofitable while building ARR to $315M demonstrates long-term thinking. However, the current $15M OpEx reduction initiative and share buyback program suggest a pivot toward profitability that may reflect market pressure rather than pure conviction. Score: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PAR Technology at 12.0x forward earnings and 0.77x PEG offers a rare value entry into a high-growth restaurant technology platform with 30.2% revenue growth and $315M ARR growing 15% organically [1]. CEO Savneet Singh's 7-year transformation from near-bankruptcy to a unified cloud platform serving enterprise brands like Burger King demonstrates exceptional execution. The Burger King rollout, PAR Intelligence AI platform, and $100M buyback program provide multiple catalysts for re-rating as the company approaches profitability [1][4].</w:t>
      </w:r>
    </w:p>
    <w:p>
      <w:pPr>
        <w:spacing w:after="120"/>
      </w:pPr>
      <w:r>
        <w:rPr>
          <w:rFonts w:ascii="Calibri" w:hAnsi="Calibri"/>
          <w:b w:val="0"/>
          <w:color w:val="3A4A28"/>
          <w:sz w:val="20"/>
        </w:rPr>
        <w:t>The bear case centers on persistent unprofitability — PAR posted -18.5% profit margins and -10% ROE in 2025, with no guarantee that OpEx cuts will drive positive earnings [2]. The stock has declined 60%+ from highs near $36, reflecting market skepticism about the path to profitability. CEO and CFO insider selling of $1.6M in March 2026 is concerning despite Voss Capital's activist accumulation [6]. Customer concentration risk with Burger King creates single-client dependency, and competition from Toast, Oracle, and Square with larger R&amp;D budgets could pressure market share. The $100M buyback may be poorly timed if shares continue declining.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Burger King enterprise rollout expanding PAR's installed base and validating the unified platform strategy, with management expecting acceleration from Q2 through Q4 2026 [1]</w:t>
      </w:r>
    </w:p>
    <w:p>
      <w:pPr>
        <w:spacing w:before="40" w:after="40"/>
        <w:ind w:left="283"/>
      </w:pPr>
      <w:r>
        <w:rPr>
          <w:rFonts w:ascii="Calibri" w:hAnsi="Calibri"/>
          <w:b/>
          <w:color w:val="4A6B25"/>
          <w:sz w:val="20"/>
        </w:rPr>
        <w:t xml:space="preserve">2. </w:t>
      </w:r>
      <w:r>
        <w:rPr>
          <w:rFonts w:ascii="Calibri" w:hAnsi="Calibri"/>
          <w:b w:val="0"/>
          <w:color w:val="3A4A28"/>
          <w:sz w:val="20"/>
        </w:rPr>
        <w:t>PAR Intelligence AI-powered analytics platform creating a new revenue stream and competitive differentiation in enterprise restaurant technology [4]</w:t>
      </w:r>
    </w:p>
    <w:p>
      <w:pPr>
        <w:spacing w:before="40" w:after="40"/>
        <w:ind w:left="283"/>
      </w:pPr>
      <w:r>
        <w:rPr>
          <w:rFonts w:ascii="Calibri" w:hAnsi="Calibri"/>
          <w:b/>
          <w:color w:val="4A6B25"/>
          <w:sz w:val="20"/>
        </w:rPr>
        <w:t xml:space="preserve">3. </w:t>
      </w:r>
      <w:r>
        <w:rPr>
          <w:rFonts w:ascii="Calibri" w:hAnsi="Calibri"/>
          <w:b w:val="0"/>
          <w:color w:val="3A4A28"/>
          <w:sz w:val="20"/>
        </w:rPr>
        <w:t>$15M annualized OpEx reduction by end of Q1 2026 combined with mid-teens ARR growth positions PAR for potential profitability inflection in H2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negative profit margins (-18.5%) and negative ROE (-10%) with no clear timeline to sustained profitability, risking further multiple compression if growth decelerates [2]</w:t>
      </w:r>
    </w:p>
    <w:p>
      <w:pPr>
        <w:spacing w:before="40" w:after="40"/>
        <w:ind w:left="283"/>
      </w:pPr>
      <w:r>
        <w:rPr>
          <w:rFonts w:ascii="Calibri" w:hAnsi="Calibri"/>
          <w:b/>
          <w:color w:val="4A6B25"/>
          <w:sz w:val="20"/>
        </w:rPr>
        <w:t xml:space="preserve">2. </w:t>
      </w:r>
      <w:r>
        <w:rPr>
          <w:rFonts w:ascii="Calibri" w:hAnsi="Calibri"/>
          <w:b w:val="0"/>
          <w:color w:val="3A4A28"/>
          <w:sz w:val="20"/>
        </w:rPr>
        <w:t>CEO Singh sold $1.3M and CFO Menar sold $145K in stock in March 2026, signaling potential insider concern about near-term outlook despite public confidence [6]</w:t>
      </w:r>
    </w:p>
    <w:p>
      <w:pPr>
        <w:spacing w:before="40" w:after="40"/>
        <w:ind w:left="283"/>
      </w:pPr>
      <w:r>
        <w:rPr>
          <w:rFonts w:ascii="Calibri" w:hAnsi="Calibri"/>
          <w:b/>
          <w:color w:val="4A6B25"/>
          <w:sz w:val="20"/>
        </w:rPr>
        <w:t xml:space="preserve">3. </w:t>
      </w:r>
      <w:r>
        <w:rPr>
          <w:rFonts w:ascii="Calibri" w:hAnsi="Calibri"/>
          <w:b w:val="0"/>
          <w:color w:val="3A4A28"/>
          <w:sz w:val="20"/>
        </w:rPr>
        <w:t>Customer concentration risk with Burger King as a major enterprise client — any delay, renegotiation, or loss of the BK contract would materially impact ARR growth trajectory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PAR's core restaurant POS and loyalty software faces moderate AI disruption risk — while AI-powered alternatives could emerge, PAR's deep integration with enterprise restaurant operations, switching costs, and proprietary transaction data create meaningful defensive moats [3]. The company is actively deploying AI through PAR Intelligence, an analytics platform that enhances restaurant decision-making rather than replacing human operators [4]. PAR earns the AI opportunity tiebreaker point as PAR Intelligence represents early-stage AI revenue contribution. The primary risk is that larger technology platforms (e.g., Toast, Square) with greater AI investment budgets could leapfrog PAR's capabilities in the mid-market.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PAR Technology Q4 2025 Earnings Release and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PAR key statistics,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PAR Technology Corporate Website and CEO Savneet Singh Interviews, 2025-2026</w:t>
      </w:r>
    </w:p>
    <w:p>
      <w:pPr>
        <w:spacing w:before="20" w:after="20"/>
        <w:ind w:left="170"/>
      </w:pPr>
      <w:r>
        <w:rPr>
          <w:rFonts w:ascii="Calibri" w:hAnsi="Calibri"/>
          <w:b/>
          <w:color w:val="4A6B25"/>
          <w:sz w:val="15"/>
        </w:rPr>
        <w:t xml:space="preserve">4. </w:t>
      </w:r>
      <w:r>
        <w:rPr>
          <w:rFonts w:ascii="Calibri" w:hAnsi="Calibri"/>
          <w:b w:val="0"/>
          <w:color w:val="3A4A28"/>
          <w:sz w:val="17"/>
        </w:rPr>
        <w:t>PAR Technology — PAR Intelligence Product Announcement, 2026</w:t>
      </w:r>
    </w:p>
    <w:p>
      <w:pPr>
        <w:spacing w:before="20" w:after="20"/>
        <w:ind w:left="170"/>
      </w:pPr>
      <w:r>
        <w:rPr>
          <w:rFonts w:ascii="Calibri" w:hAnsi="Calibri"/>
          <w:b/>
          <w:color w:val="4A6B25"/>
          <w:sz w:val="15"/>
        </w:rPr>
        <w:t xml:space="preserve">5. </w:t>
      </w:r>
      <w:r>
        <w:rPr>
          <w:rFonts w:ascii="Calibri" w:hAnsi="Calibri"/>
          <w:b w:val="0"/>
          <w:color w:val="3A4A28"/>
          <w:sz w:val="17"/>
        </w:rPr>
        <w:t>Glassdoor — PAR Technology Employee Reviews, accessed April 2026</w:t>
      </w:r>
    </w:p>
    <w:p>
      <w:pPr>
        <w:spacing w:before="20" w:after="20"/>
        <w:ind w:left="170"/>
      </w:pPr>
      <w:r>
        <w:rPr>
          <w:rFonts w:ascii="Calibri" w:hAnsi="Calibri"/>
          <w:b/>
          <w:color w:val="4A6B25"/>
          <w:sz w:val="15"/>
        </w:rPr>
        <w:t xml:space="preserve">6. </w:t>
      </w:r>
      <w:r>
        <w:rPr>
          <w:rFonts w:ascii="Calibri" w:hAnsi="Calibri"/>
          <w:b w:val="0"/>
          <w:color w:val="3A4A28"/>
          <w:sz w:val="17"/>
        </w:rPr>
        <w:t>SEC Filings — PAR Technology Insider Transactions,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