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PATH</w:t>
      </w:r>
      <w:r>
        <w:rPr>
          <w:rFonts w:ascii="Calibri" w:hAnsi="Calibri"/>
          <w:b/>
          <w:color w:val="1A2010"/>
          <w:sz w:val="40"/>
        </w:rPr>
        <w:t xml:space="preserve">  UiPath, Inc.</w:t>
      </w:r>
    </w:p>
    <w:p>
      <w:pPr>
        <w:spacing w:after="120"/>
      </w:pPr>
      <w:r>
        <w:rPr>
          <w:rFonts w:ascii="Calibri" w:hAnsi="Calibri"/>
          <w:b/>
          <w:color w:val="6E8450"/>
          <w:sz w:val="18"/>
        </w:rPr>
        <w:t>GROWTH SLEEVE · 2026-03-23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UiPath provides an end-to-end automation platform offering robotic process automation (RPA), agentic AI, and process orchestration solutions. The company's platform enables enterprises to automate repetitive tasks and deploy AI agents that can execute multi-step workflows autonomously.</w:t>
      </w:r>
    </w:p>
    <w:p>
      <w:r>
        <w:rPr>
          <w:rFonts w:ascii="Calibri" w:hAnsi="Calibri"/>
          <w:b/>
          <w:color w:val="6E8450"/>
          <w:sz w:val="18"/>
        </w:rPr>
        <w:t>4,200 Employees · https://www.uipath.com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UiPath pivoted from traditional RPA to agentic automation under founder Daniel Dines' return as CEO, launching Agent Builder, Maestro orchestration, and ScreenPlay technologies that redefine the automation category [2]. AI Deployment (2/2): 450 customers developing agents, close to 1M agent runs, and 170K Maestro orchestrations — agentic automation is shipping at scale with measurable adoption [1]. Market Share (1/2): Leader in the RPA market with $1.85B ARR growing 11%, though facing competitive pressure from Microsoft Power Automate bundled with enterprise licenses [1]. Pipeline (1/2): FY2027 guidance of 11-13% revenue growth with Agent Builder moving to wide release, indicating steady pipeline. R&amp;D Intensity (1/1): Heavy investment in AI capabilities with the strategic CTO position and Chief Culture Officer reflecting deep organizational commitment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UiPath's mission to reduce time and stress from menial administrative tasks is clear and purposeful, connecting technology to human wellbeing, though not transformative at the level of Sinek's Just Cause [2]. Community Impact (1/2): UiPath's Impact Report outlines automation-for-good programs and community involvement aligned with social impact, earning a 'Strong' ESG rating from Sustainalytics [3]. Employee Retention (1/2): The company has a dedicated Chief Culture Officer (Andreea Baciu) focusing on employee engagement and organizational growth, though Dines acknowledged cultural damage from the 2024 leadership transition [2]. Insider Buying (1/2): Dines returned as CEO by choice rather than financial necessity, holding significant equity, demonstrating personal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UiPath's financial profile is exceptionally strong: $1.61B revenue up 13% YoY, 83%+ gross margins, full-year GAAP profitability achieved for the first time, and $484M in adjusted free cash flow [1]. D/E is minimal at 3.4%, ROE of 14.4% approaches the 15% target, forward P/E of 13.5x is well below the 20x threshold, and profit margin of 17.5% is healthy [4]. The company holds $1.47B in cash against only $71M in debt and authorized a $500M stock buyback. Liquidity floor cleared: 34.5M avg volume x $12.06 = $416M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UiPath demonstrates infinite game qualities through Dines' return as CEO to address an existential AI threat, the deliberate cultural reset prioritizing chemistry over credentials, and the long-term bet on agentic automation. However, the company's identity crisis during the 2023-2024 leadership turmoil and the $400M burn with 10% layoffs reveal fragility in the infinite game commitment.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UiPath's purpose of freeing humans from repetitive digital labor to focus on creative and meaningful work is a genuine cause that connects technology to human flourishing [2]. Dines' 2005 founding vision has been consistent, though the company's identity wavered during the Enslin CEO interlude.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Dines acknowledged the company became 'siloed and too bureaucratic' during Enslin's tenure, and reinstated chemistry-first hiring principles upon return [2]. The Chief Culture Officer role and focus on organizational growth suggest investment in trust, but the recent $400M burn, 10% layoffs, and CEO musical chairs damaged organizational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UiPath acknowledges Microsoft Power Automate as a formidable competitor and is adapting its strategy to differentiate through agentic capabilities rather than trying to out-bundle Microsoft [1]. This suggests a healthy competitive mindset focused on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traditional RPA to agentic automation represents a meaningful strategic shift in response to the AI revolution [2]. UiPath is essentially rebuilding its product category, which requires existential flexibility, though the transformation remains early and unproven.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Dines' return as CEO and immediate pivot to agentic automation — despite the risk of cannibalizing core RPA revenue — demonstrates courage to lead through an existential threat [2]. The $500M buyback authorization while investing heavily in AI capabilities shows confidence in the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UiPath achieved its first full-year GAAP profitability with $1.61B revenue, 83%+ gross margins, $484M free cash flow, and a $500M buyback authorization, all while successfully pivoting to agentic automation with 450 customers already building agents [1]. At 13.5x forward earnings with $1.47B in cash, the stock trades at a significant discount to its SaaS peers. The agentic automation market is still nascent, and UiPath's installed base of enterprise RPA customers provides a natural upsell path for AI agent deployment.</w:t>
      </w:r>
    </w:p>
    <w:p>
      <w:pPr>
        <w:spacing w:after="120"/>
      </w:pPr>
      <w:r>
        <w:rPr>
          <w:rFonts w:ascii="Calibri" w:hAnsi="Calibri"/>
          <w:b w:val="0"/>
          <w:color w:val="3A4A28"/>
          <w:sz w:val="20"/>
        </w:rPr>
        <w:t>The bear case centers on Microsoft Power Automate's competitive threat — bundled with existing enterprise licenses, it undermines UiPath's ability to charge premium pricing for standalone automation [1]. ARR growth has decelerated to 11%, and the agentic pivot cannibalizes traditional RPA revenue before replacement revenue scales. The stock is down 39% from its 52-week high, and the 2023-2024 leadership instability (CEO swap, $400M burn, layoffs) raises questions about organizational resilience [2]. If generative AI agents become commoditized through major cloud platforms, UiPath's differentiation narrows significantly.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 Builder wide release in FY2027 could accelerate agentic automation adoption across UiPath's 10,000+ customer base [1]</w:t>
      </w:r>
    </w:p>
    <w:p>
      <w:pPr>
        <w:spacing w:before="40" w:after="40"/>
        <w:ind w:left="283"/>
      </w:pPr>
      <w:r>
        <w:rPr>
          <w:rFonts w:ascii="Calibri" w:hAnsi="Calibri"/>
          <w:b/>
          <w:color w:val="4A6B25"/>
          <w:sz w:val="20"/>
        </w:rPr>
        <w:t xml:space="preserve">2. </w:t>
      </w:r>
      <w:r>
        <w:rPr>
          <w:rFonts w:ascii="Calibri" w:hAnsi="Calibri"/>
          <w:b w:val="0"/>
          <w:color w:val="3A4A28"/>
          <w:sz w:val="20"/>
        </w:rPr>
        <w:t>$500M share buyback provides EPS accretion and signals management confidence in the stock at current levels [1]</w:t>
      </w:r>
    </w:p>
    <w:p>
      <w:pPr>
        <w:spacing w:before="40" w:after="40"/>
        <w:ind w:left="283"/>
      </w:pPr>
      <w:r>
        <w:rPr>
          <w:rFonts w:ascii="Calibri" w:hAnsi="Calibri"/>
          <w:b/>
          <w:color w:val="4A6B25"/>
          <w:sz w:val="20"/>
        </w:rPr>
        <w:t xml:space="preserve">3. </w:t>
      </w:r>
      <w:r>
        <w:rPr>
          <w:rFonts w:ascii="Calibri" w:hAnsi="Calibri"/>
          <w:b w:val="0"/>
          <w:color w:val="3A4A28"/>
          <w:sz w:val="20"/>
        </w:rPr>
        <w:t>FY2027 revenue guidance of 11-13% growth with improving margins suggests steady path toward durable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Power Automate bundling with enterprise licenses creates existential pricing pressure for standalone RPA vendors [1]</w:t>
      </w:r>
    </w:p>
    <w:p>
      <w:pPr>
        <w:spacing w:before="40" w:after="40"/>
        <w:ind w:left="283"/>
      </w:pPr>
      <w:r>
        <w:rPr>
          <w:rFonts w:ascii="Calibri" w:hAnsi="Calibri"/>
          <w:b/>
          <w:color w:val="4A6B25"/>
          <w:sz w:val="20"/>
        </w:rPr>
        <w:t xml:space="preserve">2. </w:t>
      </w:r>
      <w:r>
        <w:rPr>
          <w:rFonts w:ascii="Calibri" w:hAnsi="Calibri"/>
          <w:b w:val="0"/>
          <w:color w:val="3A4A28"/>
          <w:sz w:val="20"/>
        </w:rPr>
        <w:t>Generative AI commoditization could make agentic capabilities available through Azure, AWS, and Google Cloud, eroding UiPath's differentiation [2]</w:t>
      </w:r>
    </w:p>
    <w:p>
      <w:pPr>
        <w:spacing w:before="40" w:after="40"/>
        <w:ind w:left="283"/>
      </w:pPr>
      <w:r>
        <w:rPr>
          <w:rFonts w:ascii="Calibri" w:hAnsi="Calibri"/>
          <w:b/>
          <w:color w:val="4A6B25"/>
          <w:sz w:val="20"/>
        </w:rPr>
        <w:t xml:space="preserve">3. </w:t>
      </w:r>
      <w:r>
        <w:rPr>
          <w:rFonts w:ascii="Calibri" w:hAnsi="Calibri"/>
          <w:b w:val="0"/>
          <w:color w:val="3A4A28"/>
          <w:sz w:val="20"/>
        </w:rPr>
        <w:t>ARR growth deceleration from 12% to 11% suggests potential market saturation in traditional RPA before agentic revenue fully ramps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UiPath faces the most direct form of AI disruption risk — generative AI and agentic AI could make traditional RPA software bots obsolete. Dines himself identified this threat when he ran back to the CEO chair in 2024, recognizing that if AI agents can reason and adapt autonomously, rigid rule-based bots become unnecessary [2]. The company is adapting with Agent Builder and Maestro but the outcome is uncertain. AI Opportunity (1/1): UiPath generates meaningful revenue from AI-powered automation, with agentic platform adoption generating 1M agent runs across 450 customers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UiPath FY2026 Q4 and Full-Year Earnings Release, March 2026</w:t>
      </w:r>
    </w:p>
    <w:p>
      <w:pPr>
        <w:spacing w:before="20" w:after="20"/>
        <w:ind w:left="170"/>
      </w:pPr>
      <w:r>
        <w:rPr>
          <w:rFonts w:ascii="Calibri" w:hAnsi="Calibri"/>
          <w:b/>
          <w:color w:val="4A6B25"/>
          <w:sz w:val="15"/>
        </w:rPr>
        <w:t xml:space="preserve">2. </w:t>
      </w:r>
      <w:r>
        <w:rPr>
          <w:rFonts w:ascii="Calibri" w:hAnsi="Calibri"/>
          <w:b w:val="0"/>
          <w:color w:val="3A4A28"/>
          <w:sz w:val="17"/>
        </w:rPr>
        <w:t>UiPath CEO Daniel Dines Leadership Profile, SaaStr and Sequoia Interviews, 2025-2026</w:t>
      </w:r>
    </w:p>
    <w:p>
      <w:pPr>
        <w:spacing w:before="20" w:after="20"/>
        <w:ind w:left="170"/>
      </w:pPr>
      <w:r>
        <w:rPr>
          <w:rFonts w:ascii="Calibri" w:hAnsi="Calibri"/>
          <w:b/>
          <w:color w:val="4A6B25"/>
          <w:sz w:val="15"/>
        </w:rPr>
        <w:t xml:space="preserve">3. </w:t>
      </w:r>
      <w:r>
        <w:rPr>
          <w:rFonts w:ascii="Calibri" w:hAnsi="Calibri"/>
          <w:b w:val="0"/>
          <w:color w:val="3A4A28"/>
          <w:sz w:val="17"/>
        </w:rPr>
        <w:t>UiPath ESG Overview and Sustainalytics Rating,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PATH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