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PAVM</w:t>
      </w:r>
      <w:r>
        <w:rPr>
          <w:rFonts w:ascii="Calibri" w:hAnsi="Calibri"/>
          <w:b/>
          <w:color w:val="1A2010"/>
          <w:sz w:val="40"/>
        </w:rPr>
        <w:t xml:space="preserve">  PAVmed Inc.</w:t>
      </w:r>
    </w:p>
    <w:p>
      <w:pPr>
        <w:spacing w:after="120"/>
      </w:pPr>
      <w:r>
        <w:rPr>
          <w:rFonts w:ascii="Calibri" w:hAnsi="Calibri"/>
          <w:b/>
          <w:color w:val="6E8450"/>
          <w:sz w:val="18"/>
        </w:rPr>
        <w:t>GROWTH SLEEVE · 2026-05-05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PAVmed is a multi-product medical device company developing and commercializing novel products targeting unmet clinical needs. Key products include CarpX (minimally invasive carpal tunnel treatment), EsoCheck/EsoGuard (esophageal cancer screening diagnostic), and Veris Health (cancer care platform). Subsidiary Lucid Diagnostics commercializes the EsoGuard test.</w:t>
      </w:r>
    </w:p>
    <w:p>
      <w:r>
        <w:rPr>
          <w:rFonts w:ascii="Calibri" w:hAnsi="Calibri"/>
          <w:b/>
          <w:color w:val="6E8450"/>
          <w:sz w:val="18"/>
        </w:rPr>
        <w:t>41 Employees · https://www.pavmed.com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PAVmed has developed multiple novel medical devices (CarpX, EsoCheck/EsoGuard, Veris Health) but commercial traction remains minimal — full year 2025 revenue was just $71K for the parent entity [1]. Lucid Diagnostics generated $1.5M EsoGuard revenue in Q4 2025 processing 3,664 tests, showing early commercial adoption. AI Deployment (0/2): No evidence of AI deployment generating revenue or measurable efficiency gains; the company focuses on traditional medical device and diagnostic development. Market Share (1/2): EsoGuard has secured a VA contract covering 9 million veterans, establishing a first-mover position in esophageal precancer screening — a novel category with no established competitors [1]. Pipeline (2/2): CarpX (carpal tunnel), EsoGuard (esophageal screening), EsoCure (ablation), PortIO (vascular access), and Veris (oncology platform) represent specific products with FDA pathways and development timelines [1]. R&amp;D Intensity (1/1): As a development-stage company, virtually all spending is R&amp;D-oriented relative to minimal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PAVmed's mission centers on 'advancing patient care' through innovative medical technology that addresses unmet needs — preventing esophageal cancer deaths through early detection (EsoGuard) and minimally invasive surgical solutions (CarpX) [2]. The mission is specific, patient-focused, and connected to measurable health outcomes. Community Impact (1/2): The VA contract brings EsoGuard to 9 million veterans who face elevated esophageal cancer risk due to GERD prevalence — genuine healthcare access expansion [1]. Employee Retention (0/2): With only 41 employees, the company is too small for meaningful retention data; the founder/CEO Dr. Lishan Aklog has led since 2014 providing leadership continuity [2]. Insider Buying (1/2): Dr. Aklog maintains significant founder equity and the company recently closed $45M in financing (Series D + senior secured note), though this is capital-raising rather than open-market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(36,266) × stock_price ($8.13) = $294,842, well below the $1,000,000 minimum threshold [3]. Infrastructure score automatically set to 0. Underlying fundamentals are extremely challenged: total revenue of $71K in 2025, negative ROE (-32.3%), negative free cash flow (-$14.0M/year), and the company's 10-K explicitly notes 'substantial doubt about the ability to continue as a going concern' [1]. Total debt of $13.3M against $1.95M cash creates acute near-term funding risk despite the recent $45M financing. The 1-for-30 reverse stock split and Series D conversion create ongoing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PAVmed under founder Dr. Aklog demonstrates mission-driven innovation focused on patient outcomes, with a genuine purpose of preventing cancer deaths and reducing surgical invasiveness. However, the going concern risk, extreme cash burn relative to revenue, and heavy dilution suggest finite-game capital management that may prevent the company from achieving its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PAVmed's cause — preventing esophageal cancer deaths through early detection and advancing minimally invasive surgery — is genuinely idealistic, patient-centered, and verifiable through specific product outcomes [2]. Dr. Aklog's background as a cardiac surgeon at Harvard and Mount Sinai lends authentic clinical purpose. EsoGuard's VA contract expanding access to 9 million veterans demonstrates the cause in action [1]. However, the cause has not been tested through decades of execution.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Dr. Aklog has led as CEO since founding in 2014, providing 12 years of leadership continuity. The 'culture of action, audacity, and adaptiveness' reflects the surgical founding team's decisiveness [2]. With 41 employees, the company maintains an intimate team structure. However, at this scale, organizational culture data is limited.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PAVmed operates in novel categories (esophageal precancer screening, minimally invasive carpal tunnel) where direct competitors are limited, making worthy rival dynamics less relevant. The company's language emphasizes 'unmet needs' and category creation rather than competitive learning.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PAVmed's multi-product model (CarpX, EsoGuard, EsoCure, PortIO, Veris) demonstrates breadth of innovation, but the company has not fundamentally pivoted its business model since founding — it remains a development-stage medical device company attempting to commercialize multiple products simultaneously [2]. This is consistent execution of the founding thesis, not existential flexibility.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Building a multi-product medical device company from scratch requires sustained investment against near-term losses — Dr. Aklog has persisted through 12 years of development spending with minimal revenue [2]. The recent $45M capital raise demonstrates willingness to dilute in service of long-term product commercialization [1]. However, the going concern warning suggests this courage may be approaching its limits.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PAVmed's investment case rests on the EsoGuard esophageal cancer screening platform, which secured a VA contract covering 9 million veterans and processed 3,664 tests generating $1.5M revenue in Q4 2025 through subsidiary Lucid Diagnostics [1]. The $59M market cap could represent significant upside if EsoGuard achieves widespread adoption (estimated $4B addressable market in at-risk GERD patients). CarpX addresses a large surgical market (carpal tunnel affects millions annually), and the multi-product pipeline provides multiple shots on goal. Dr. Aklog's 12-year commitment and the recent $45M financing demonstrate persistence and investor confidence in the clinical portfolio.</w:t>
      </w:r>
    </w:p>
    <w:p>
      <w:pPr>
        <w:spacing w:after="120"/>
      </w:pPr>
      <w:r>
        <w:rPr>
          <w:rFonts w:ascii="Calibri" w:hAnsi="Calibri"/>
          <w:b w:val="0"/>
          <w:color w:val="3A4A28"/>
          <w:sz w:val="20"/>
        </w:rPr>
        <w:t>The bear case is severe and multifaceted. PAVmed generated just $71K in parent-level revenue in 2025 with an explicit going concern warning in its 10-K [1]. The company burns $14M/year in free cash flow with only $1.95M cash (pre-financing), making it dependent on continuous external capital. Shareholders have been massively diluted through a 1-for-30 reverse split and Series D preferred conversion into 4.6M common shares [3]. Daily trading volume of just 36,266 shares ($295K value) makes the position nearly untradeable. The forward P/E is negative (-2.97), and analyst consensus still projects negative earnings in 2026 (-$24M). The company has been developing products for 12 years with negligible commercial traction, raising questions about whether the management team can execute the transition from R&amp;D to commercial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 contract commercialization driving EsoGuard test volume growth beyond the 3,664 tests processed in Q4 2025 [1]</w:t>
      </w:r>
    </w:p>
    <w:p>
      <w:pPr>
        <w:spacing w:before="40" w:after="40"/>
        <w:ind w:left="283"/>
      </w:pPr>
      <w:r>
        <w:rPr>
          <w:rFonts w:ascii="Calibri" w:hAnsi="Calibri"/>
          <w:b/>
          <w:color w:val="4A6B25"/>
          <w:sz w:val="20"/>
        </w:rPr>
        <w:t xml:space="preserve">2. </w:t>
      </w:r>
      <w:r>
        <w:rPr>
          <w:rFonts w:ascii="Calibri" w:hAnsi="Calibri"/>
          <w:b w:val="0"/>
          <w:color w:val="3A4A28"/>
          <w:sz w:val="20"/>
        </w:rPr>
        <w:t>CarpX FDA clearance and commercial launch timeline could open a multi-billion dollar carpal tunnel market opportunity</w:t>
      </w:r>
    </w:p>
    <w:p>
      <w:pPr>
        <w:spacing w:before="40" w:after="40"/>
        <w:ind w:left="283"/>
      </w:pPr>
      <w:r>
        <w:rPr>
          <w:rFonts w:ascii="Calibri" w:hAnsi="Calibri"/>
          <w:b/>
          <w:color w:val="4A6B25"/>
          <w:sz w:val="20"/>
        </w:rPr>
        <w:t xml:space="preserve">3. </w:t>
      </w:r>
      <w:r>
        <w:rPr>
          <w:rFonts w:ascii="Calibri" w:hAnsi="Calibri"/>
          <w:b w:val="0"/>
          <w:color w:val="3A4A28"/>
          <w:sz w:val="20"/>
        </w:rPr>
        <w:t>Recent $45M financing ($30M Series D + $15M senior secured note) eliminates near-term going concern risk and funds 12-18 months of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management explicitly notes substantial doubt about ability to continue as a going concern despite recent financing [1]</w:t>
      </w:r>
    </w:p>
    <w:p>
      <w:pPr>
        <w:spacing w:before="40" w:after="40"/>
        <w:ind w:left="283"/>
      </w:pPr>
      <w:r>
        <w:rPr>
          <w:rFonts w:ascii="Calibri" w:hAnsi="Calibri"/>
          <w:b/>
          <w:color w:val="4A6B25"/>
          <w:sz w:val="20"/>
        </w:rPr>
        <w:t xml:space="preserve">2. </w:t>
      </w:r>
      <w:r>
        <w:rPr>
          <w:rFonts w:ascii="Calibri" w:hAnsi="Calibri"/>
          <w:b w:val="0"/>
          <w:color w:val="3A4A28"/>
          <w:sz w:val="20"/>
        </w:rPr>
        <w:t>Extreme illiquidity — 36,266 shares average daily volume ($295K) makes position entry/exit virtually impossible for institutional investors [3]</w:t>
      </w:r>
    </w:p>
    <w:p>
      <w:pPr>
        <w:spacing w:before="40" w:after="40"/>
        <w:ind w:left="283"/>
      </w:pPr>
      <w:r>
        <w:rPr>
          <w:rFonts w:ascii="Calibri" w:hAnsi="Calibri"/>
          <w:b/>
          <w:color w:val="4A6B25"/>
          <w:sz w:val="20"/>
        </w:rPr>
        <w:t xml:space="preserve">3. </w:t>
      </w:r>
      <w:r>
        <w:rPr>
          <w:rFonts w:ascii="Calibri" w:hAnsi="Calibri"/>
          <w:b w:val="0"/>
          <w:color w:val="3A4A28"/>
          <w:sz w:val="20"/>
        </w:rPr>
        <w:t>Persistent shareholder dilution — 1-for-30 reverse split, Series D conversion to 4.6M shares, and potential future capital raises continue eroding existing shareholder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PAVmed operates in physical medical devices (CarpX surgical device) and molecular diagnostics (EsoGuard DNA assay) — both requiring physical patient interaction, FDA-approved protocols, and clinical infrastructure that AI cannot substitute [2]. Medical devices and diagnostics that require biological sample collection and processing are structurally immune to AI displacement. The regulatory moat (FDA clearance, VA contract) provides additional protection. AI Opportunity (0/1): No AI-derived revenue; the Veris Health oncology platform could potentially incorporate AI, but no current AI products are shipping or generating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PAVmed Q4/FY2025 Business Update and Financial Results — $71K revenue, going concern, $45M financing, 3,664 EsoGuard tests in Q4, March 30, 2026</w:t>
      </w:r>
    </w:p>
    <w:p>
      <w:pPr>
        <w:spacing w:before="20" w:after="20"/>
        <w:ind w:left="170"/>
      </w:pPr>
      <w:r>
        <w:rPr>
          <w:rFonts w:ascii="Calibri" w:hAnsi="Calibri"/>
          <w:b/>
          <w:color w:val="4A6B25"/>
          <w:sz w:val="15"/>
        </w:rPr>
        <w:t xml:space="preserve">2. </w:t>
      </w:r>
      <w:r>
        <w:rPr>
          <w:rFonts w:ascii="Calibri" w:hAnsi="Calibri"/>
          <w:b w:val="0"/>
          <w:color w:val="3A4A28"/>
          <w:sz w:val="17"/>
        </w:rPr>
        <w:t>PAVmed corporate website — Dr. Lishan Aklog CEO, company culture, product pipeline (CarpX, EsoGuard, EsoCure, PortIO, Veris),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PAVmed SEC filings and StockTitan — Series D preferred, 1-for-30 reverse split, shareholder dilution, VA contract, balance sheet details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PAVM (PAVmed Inc.),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