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PAYO</w:t>
      </w:r>
      <w:r>
        <w:rPr>
          <w:rFonts w:ascii="Calibri" w:hAnsi="Calibri"/>
          <w:b/>
          <w:color w:val="1A2010"/>
          <w:sz w:val="40"/>
        </w:rPr>
        <w:t xml:space="preserve">  Payoneer Global Inc.</w:t>
      </w:r>
    </w:p>
    <w:p>
      <w:pPr>
        <w:spacing w:after="120"/>
      </w:pPr>
      <w:r>
        <w:rPr>
          <w:rFonts w:ascii="Calibri" w:hAnsi="Calibri"/>
          <w:b/>
          <w:color w:val="6E8450"/>
          <w:sz w:val="18"/>
        </w:rPr>
        <w:t>GROWTH SLEEVE · 2026-04-01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Payoneer is a financial technology company providing cross-border payment infrastructure for small and medium-sized businesses worldwide. The platform offers multi-currency accounts, funds management, working capital, and workforce management services across 190+ countries, serving marketplace sellers, B2B SMBs, and e-commerce checkout clients.</w:t>
      </w:r>
    </w:p>
    <w:p>
      <w:r>
        <w:rPr>
          <w:rFonts w:ascii="Calibri" w:hAnsi="Calibri"/>
          <w:b/>
          <w:color w:val="6E8450"/>
          <w:sz w:val="18"/>
        </w:rPr>
        <w:t>2,540 Employees · https://www.payoneer.com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Payoneer crossed $1B in annual revenue in 2025 and successfully evolved from a marketplace payout tool into a broader financial platform with B2B revenue up 28% YoY and Checkout revenue up 55% YoY [1]. The upmarket shift to larger clients (now 42% of revenue) and ARPU growth of 15% (21% ex-interest) for 6 consecutive quarters demonstrate successful business model evolution [1]. AI Deployment (1/2): Payoneer deployed Resistant AI for document fraud detection, with 82% of document fraud decisions now AI-supported, significantly accelerating customer onboarding [2]. CFO cited 'promising use cases' for agentic AI in support and relationship management teams, and AI-driven risk monitoring and transaction monitoring [2]. Market Share (1/2): Payoneer is a meaningful player in cross-border SMB payments but competes against much larger players (PayPal, Wise, Stripe). ARPU and customer volume growth indicate share gains in the marketplace seller segment, but not category leadership [1]. Pipeline (1/2): Filed OCC application for uninsured national trust bank to support stablecoin strategy in February 2026; partnered with Citibank on blockchain-based money movement; targeting mid-teens revenue growth exiting 2026 [1][2]. R&amp;D Intensity (1/1): Meaningful investment in AI, blockchain, and platform capabilities relative to fintech peers, with AI-first strategy orientation announced for 2026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Payoneer's stated mission focuses on 'empowering businesses to connect and grow in the global economy' — clear and relevant to its cross-border payments business, connecting SMBs in developing markets to global commerce, but not transformative or deeply differentiated from fintech peers [3]. Community Impact (2/2): The Payoneer Foundation awarded grants to 15 organizations across 10 countries, employees contributed nearly 2,000 volunteer hours across 18 countries during Global Week of Good, and the company serves SMBs in 190+ countries, enabling economic participation for businesses in developing economies [3]. Employee Retention (0/2): Glassdoor rating of 3.7/5 with 75% recommending, but significant negative reviews cite 'toxic leadership culture,' 'gossip culture with gaslighting,' and frequent organizational changes that undermine stability [2]. Voluntary turnover data is not available, and the cultural concerns suggest below-average retention. Insider Buying (1/2): The company repurchased $175M in shares (8% of outstanding) in 2025, demonstrating capital allocation conviction, though this is corporate buybacks rather than individual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Payoneer demonstrates strong financial infrastructure for a growth-stage fintech. D/E of 2.8% reflects a nearly debt-free balance sheet ($13.7M debt against $466M cash), providing exceptional financial flexibility [4]. ROE of 10.2% is below the 15% target but improving as the company scales profitability. Revenue growth of ~8% annually (with quarterly acceleration to 47% in Q4) and a 5yr CAGR of approximately 25% (from ~$345M in 2020 to $1.05B in 2025) significantly exceed targets [1][4]. Forward P/E of 14.1x is well below the 20x target, reflecting undervaluation. Profit margin of 6.95% is below the 20% target but improving with scale — adjusted EBITDA target of $85-95M for 2026 represents a step-change in profitability [1]. Operating cash flow of $233M is strong. Liquidity floor cleared: 4.5M avg vol × $4.83 = $21.8M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Payoneer under CEO John Caplan shows mixed infinite game characteristics. The upmarket strategic shift and stablecoin/blockchain investments demonstrate long-term thinking, but frequent organizational changes, cultural instability, and the 2025 buyer exploration suggest finite game pressure. The company is evolving its strategy but organizational trust needs strengthening.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Payoneer's cause — enabling SMBs worldwide to participate in global commerce — connects to economic empowerment for businesses in developing markets and has been consistently pursued since 2005 [1][3]. The expansion from marketplace payouts to full financial platform, B2B services, and now stablecoin/banking infrastructure all serve this cause. The Payoneer Foundation's global grants reinforce mission authenticity. However, the 2025 exploration of a sale signals the cause may be secondary to financial outcomes.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present a mixed picture — 75% recommend working at Payoneer with 4.0 work-life balance, but significant negative reviews describe toxic leadership culture, gaslighting, frequent org changes, and favoritism [2]. CEO Caplan brings credibility from Alibaba.com, and the Executive Team rates B+ on Comparably (Top 20% for company size). However, the cultural concerns and reports of chaotic organizational changes suggest moderate rather than high trust.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Payoneer acknowledges competitors' strengths — the company explicitly positions itself relative to PayPal, Wise, and Stripe, adapting its strategy (upmarket shift, B2B focus, stablecoin) in response to competitive dynamics [1]. The Citibank blockchain partnership and OCC bank application reflect learning from competitor capabilities rather than trying to destroy them.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Payoneer has evolved meaningfully from marketplace payout tool to cross-border financial platform with B2B services, checkout, working capital, and now stablecoin/banking capabilities [1]. The OCC bank application represents a bold strategic expansion. However, these are incremental platform extensions rather than transformative reinvention — the core cross-border payment business remains central.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decision to explore a sale while simultaneously investing in stablecoin and AI strategy sends mixed signals about long-term conviction [2]. Suspending full-year guidance citing uncertainty, then subsequently issuing 2026 guidance, suggests reactive rather than courageous leadership. However, the $175M share repurchase (8% of shares) and portfolio optimization (accepting 300bps headwind) show some willingness to sacrifice near-term revenue for long-term quality.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Payoneer offers compelling growth-at-a-reasonable-price at 14.1x forward P/E with accelerating business momentum. The company crossed $1B in annual revenue in 2025 with B2B segment growing 28% YoY and Checkout growing 55% YoY, while ARPU increased 21% ex-interest for 6 consecutive quarters [1]. The 2026 guidance of $1.09-1.13B revenue with $85-95M adjusted EBITDA (more than doubling YoY) signals margin expansion as the platform scales [1]. Strategic initiatives — OCC bank application for stablecoin capabilities, Citibank blockchain partnership, AI-first strategy with 82% automated fraud detection — position Payoneer for the next evolution of cross-border finance [1][2]. At $1.72B market cap with $466M cash and the $175M share buyback demonstrating capital discipline, the analyst consensus target of $7.75 implies 60%+ upside from current levels [4].</w:t>
      </w:r>
    </w:p>
    <w:p>
      <w:pPr>
        <w:spacing w:after="120"/>
      </w:pPr>
      <w:r>
        <w:rPr>
          <w:rFonts w:ascii="Calibri" w:hAnsi="Calibri"/>
          <w:b w:val="0"/>
          <w:color w:val="3A4A28"/>
          <w:sz w:val="20"/>
        </w:rPr>
        <w:t>The bear case centers on competitive pressure, margin sustainability, and organizational instability. Payoneer competes against significantly larger and better-capitalized players — PayPal ($70B+ market cap), Stripe (private, $95B valuation), and Wise ($11B market cap) — all of which are investing aggressively in AI and cross-border payments [2]. Profit margins of 6.95% are thin relative to the 20% target, and while improving, face compression from FX margin competition and increasing compliance costs. The 2025 exploration of a buyer and guidance suspension raised concerns about management's long-term commitment to independence [2]. Glassdoor reviews describing toxic leadership culture, gaslighting, and frequent organizational changes suggest internal execution risks that could undermine the strategic vision. Revenue guidance includes a 300bps headwind from portfolio optimization, and macroeconomic uncertainty affecting global trade could pressure cross-border volumes. The stablecoin and banking strategy, while innovative, brings significant regulatory complexity and execution risk for a company with 2,540 employees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OCC national trust bank application and Citibank blockchain partnership positioning Payoneer for stablecoin-enabled cross-border payments — a potentially transformative expansion of the platform [1][2]</w:t>
      </w:r>
    </w:p>
    <w:p>
      <w:pPr>
        <w:spacing w:before="40" w:after="40"/>
        <w:ind w:left="283"/>
      </w:pPr>
      <w:r>
        <w:rPr>
          <w:rFonts w:ascii="Calibri" w:hAnsi="Calibri"/>
          <w:b/>
          <w:color w:val="4A6B25"/>
          <w:sz w:val="20"/>
        </w:rPr>
        <w:t xml:space="preserve">2. </w:t>
      </w:r>
      <w:r>
        <w:rPr>
          <w:rFonts w:ascii="Calibri" w:hAnsi="Calibri"/>
          <w:b w:val="0"/>
          <w:color w:val="3A4A28"/>
          <w:sz w:val="20"/>
        </w:rPr>
        <w:t>Adjusted EBITDA targeting $85-95M in 2026 (more than doubling YoY) as upmarket shift and ARPU growth drive operating leverage and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AI-first strategy deployment with 82% automated fraud detection, agentic AI in customer operations, and AI-driven risk monitoring creating efficiency gains and competitive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Intense competition from PayPal, Stripe, and Wise with significantly greater scale and capital — FX margin compression and feature parity could erode Payoneer's differentiation in cross-border SMB payments [2]</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evidenced by 2025 buyer exploration, guidance suspension, Glassdoor reports of toxic culture, and frequent restructuring that could undermine strategic execution [2]</w:t>
      </w:r>
    </w:p>
    <w:p>
      <w:pPr>
        <w:spacing w:before="40" w:after="40"/>
        <w:ind w:left="283"/>
      </w:pPr>
      <w:r>
        <w:rPr>
          <w:rFonts w:ascii="Calibri" w:hAnsi="Calibri"/>
          <w:b/>
          <w:color w:val="4A6B25"/>
          <w:sz w:val="20"/>
        </w:rPr>
        <w:t xml:space="preserve">3. </w:t>
      </w:r>
      <w:r>
        <w:rPr>
          <w:rFonts w:ascii="Calibri" w:hAnsi="Calibri"/>
          <w:b w:val="0"/>
          <w:color w:val="3A4A28"/>
          <w:sz w:val="20"/>
        </w:rPr>
        <w:t>Regulatory complexity from stablecoin banking strategy and cross-border licensing across 190+ countries — any compliance failure could result in license revocation, fines, or operational disruption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Payoneer's cross-border payment infrastructure faces meaningful AI disruption risk. AI-powered fintech competitors could offer automated FX optimization, instant compliance verification, and intelligent routing that compresses Payoneer's transaction and FX margins [2]. Large language models and agentic AI could automate the customer support and relationship management functions that currently differentiate Payoneer's service. Additionally, AI-native payment platforms could reduce the integration complexity that creates switching costs, making it easier for SMBs to switch providers. The regulatory moat (licensing across 190+ countries) provides some protection, but AI disruption primarily threatens the value-added services layer rather than the licensed payment rails [2]. AI Opportunity (1/1): Payoneer generates measurable AI value through Resistant AI partnership (82% automated document fraud detection), agentic AI in support teams, and AI-driven risk monitoring across cross-border transactions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Payoneer Q4/FY2025 Earnings Release — $1.05B annual revenue (8% YoY), B2B up 28%, Checkout up 55%, 2026 guidance $1.09-1.13B, $175M buyback, March 2026</w:t>
      </w:r>
    </w:p>
    <w:p>
      <w:pPr>
        <w:spacing w:before="20" w:after="20"/>
        <w:ind w:left="170"/>
      </w:pPr>
      <w:r>
        <w:rPr>
          <w:rFonts w:ascii="Calibri" w:hAnsi="Calibri"/>
          <w:b/>
          <w:color w:val="4A6B25"/>
          <w:sz w:val="15"/>
        </w:rPr>
        <w:t xml:space="preserve">2. </w:t>
      </w:r>
      <w:r>
        <w:rPr>
          <w:rFonts w:ascii="Calibri" w:hAnsi="Calibri"/>
          <w:b w:val="0"/>
          <w:color w:val="3A4A28"/>
          <w:sz w:val="17"/>
        </w:rPr>
        <w:t>Payoneer Leadership, AI, and Culture — CEO John Caplan (ex-Alibaba.com), Resistant AI 82% fraud automation, agentic AI deployment, Glassdoor 3.7/5 (75% recommend), stablecoin strategy</w:t>
      </w:r>
    </w:p>
    <w:p>
      <w:pPr>
        <w:spacing w:before="20" w:after="20"/>
        <w:ind w:left="170"/>
      </w:pPr>
      <w:r>
        <w:rPr>
          <w:rFonts w:ascii="Calibri" w:hAnsi="Calibri"/>
          <w:b/>
          <w:color w:val="4A6B25"/>
          <w:sz w:val="15"/>
        </w:rPr>
        <w:t xml:space="preserve">3. </w:t>
      </w:r>
      <w:r>
        <w:rPr>
          <w:rFonts w:ascii="Calibri" w:hAnsi="Calibri"/>
          <w:b w:val="0"/>
          <w:color w:val="3A4A28"/>
          <w:sz w:val="17"/>
        </w:rPr>
        <w:t>Payoneer ESG and Impact — Payoneer Foundation grants in 10 countries, Global Week of Good, GHG assessment, Sustainalytics Average ESG rating, no major controversies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PAYO (Payoneer Global),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