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PBA</w:t>
      </w:r>
      <w:r>
        <w:rPr>
          <w:rFonts w:ascii="Calibri" w:hAnsi="Calibri"/>
          <w:b/>
          <w:color w:val="1A2010"/>
          <w:sz w:val="40"/>
        </w:rPr>
        <w:t xml:space="preserve">  Pembina Pipeline Corporation</w:t>
      </w:r>
    </w:p>
    <w:p>
      <w:pPr>
        <w:spacing w:after="120"/>
      </w:pPr>
      <w:r>
        <w:rPr>
          <w:rFonts w:ascii="Calibri" w:hAnsi="Calibri"/>
          <w:b/>
          <w:color w:val="6E8450"/>
          <w:sz w:val="18"/>
        </w:rPr>
        <w:t>DIVIDEND SLEEVE · 2026-04-26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Canada</w:t>
      </w:r>
    </w:p>
    <w:p>
      <w:pPr>
        <w:spacing w:after="80"/>
      </w:pPr>
      <w:r>
        <w:rPr>
          <w:rFonts w:ascii="Calibri" w:hAnsi="Calibri"/>
          <w:b w:val="0"/>
          <w:color w:val="3A4A28"/>
          <w:sz w:val="20"/>
        </w:rPr>
        <w:t>Pembina Pipeline provides energy transportation and midstream services across North America. It operates through Pipelines (3.0M boe/day transport capacity), Facilities (430K bbl/day NGL fractionation, 21M bbl cavern storage), and Marketing &amp; New Ventures segments. Founded in 1954 and headquartered in Calgary, Alberta.</w:t>
      </w:r>
    </w:p>
    <w:p>
      <w:r>
        <w:rPr>
          <w:rFonts w:ascii="Calibri" w:hAnsi="Calibri"/>
          <w:b/>
          <w:color w:val="6E8450"/>
          <w:sz w:val="18"/>
        </w:rPr>
        <w:t>2,974 Employees · https://www.pembina.com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Pembina has executed incremental capacity expansions and the Cedar LNG project but has not launched transformative new products or business model pivots in the last five years [1]. The Greenlight Electricity Center LP joint venture for data center power (up to 1,800 MW) is a notable but early-stage adjacency [2]. AI Deployment (0/2): No evidence of AI-powered products or quantified AI-driven cost savings. Pembina operates physical infrastructure where AI adoption lags other sectors [2]. Market Share (2/2): Pembina is the dominant midstream operator in the Western Canadian Sedimentary Basin with 3.0M boe/day transportation capacity and record annual throughput volumes in 2025, up 3% YoY [1]. Pipeline infrastructure creates natural monopoly positions. Pipeline (1/2): 2026 guidance targets $4.125B-$4.425B adjusted EBITDA with 5-7% annual fee-based EBITDA per share CAGR through 2030 [1]. Cedar LNG and Greenlight data center power projects provide future growth visibility. R&amp;D Intensity (1/1): Capex intensity is high relative to midstream peers, with C$1.1B annual investment supporting capacity growth and maintenance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Pembina's stated purpose is to be the pipeline company people want to be part of and to deliver results for stakeholders — clear and functional but not distinctive or transformative for the energy infrastructure sector [3]. Community Impact (1/2): Pembina operates a community investment program and has set targets including 30% GHG emissions intensity reduction by 2030 and 35% women in the workforce by 2025, demonstrating social responsibility commitments [4]. Employee Retention (1/2): Glassdoor rating of 4.1/5 with 85% recommending Pembina as a workplace, suggesting adequate retention, though some reviews cite management development challenges and cultural concerns in specific teams [2]. Insider Buying (1/2): CEO Scott Burrows has been in role since November 2021 with 4+ years of tenure, showing stability, though no evidence of significant recent net insider buying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Pembina's financial profile is solid for a midstream operator. Forward P/E of 19.8x is attractive for stable fee-based cash flows [5]. Profit margin of 21.8% reflects efficient operations, and D/E of 79.4% is reasonable for a capital-intensive pipeline business [5]. ROE of 9.9% is below the 15% target, reflecting the asset-heavy model. Annual revenue grew 5.3% in 2025 to C$7.78B, though quarterly revenue declined 10.8% [1]. The 4.74% dividend yield is well-supported by fee-based EBITDA, though the trailing payout ratio of 106% on reported earnings is elevated due to non-cash charges [5]. Pembina has paid dividends continuously since 2012, with modest 1.5% 5-year dividend growth CAGR. Liquidity easily clears the floor at $66.2M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Pembina demonstrates mixed infinite game characteristics. The 70-year operating history since 1954 and fee-based business model oriented toward long-term infrastructure suggest an enduring approach, but leadership transitions and commodity-linked volatility introduce finite-game pressures around quarterly earnings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Pembina's purpose of being 'the pipeline company people want to be part of' is functional but lacks the aspirational, future-oriented quality Sinek demands [3]. The company exists to transport hydrocarbons efficiently — a necessary function but not a vision of a better future that inspires sacrifice. Strategic decisions appear driven by commercial opportunity rather than an overarching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show 85% recommendation rate and 4.1/5 overall rating, suggesting adequate organizational trust [2]. However, some employees cite underdeveloped management and leadership blind spots, indicating pockets of low trust. The ~3,000-person workforce is relatively lean for the asset base, suggesting operational efficiency but limited data on cultural depth.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Pembina operates alongside Enbridge, TC Energy, and Inter Pipeline in the WCSB and has shown willingness to learn from competitors' approaches to AI, ESG integration, and data center power opportunities rather than pursuing a zero-sum competitive frame [2][4].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Pembina has incrementally diversified from pure pipelines into fractionation, storage, NGL exports, and now data center power generation through the Greenlight joint venture [1][2]. These moves show strategic adaptation but are adjacent expansions rather than transformative reinvention. The company has not fundamentally disrupted its own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Pembina's commitment to 5-7% fee-based EBITDA per share growth through 2030 and investment in Cedar LNG demonstrates willingness to make long-term capital commitments [1]. The Greenlight data center power investment shows forward-looking positioning. However, the high payout ratio and focus on dividend stability suggest a bias toward near-term shareholder returns over transformative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Pembina Pipeline is a well-positioned Canadian midstream operator with 3.0M boe/day transportation capacity and a growing fee-based business model targeting 5-7% annual EBITDA per share growth through 2030 [1]. The 4.74% dividend yield provides attractive income, and the forward P/E of 19.8x is reasonable for the stable cash flow profile. The Greenlight Electricity Center data center power venture positions Pembina to benefit from AI-driven electricity demand growth, while record 2025 throughput volumes confirm the durability of Western Canadian energy production [1][2]. Fee-based contracts provide insulation from commodity price volatility.</w:t>
      </w:r>
    </w:p>
    <w:p>
      <w:pPr>
        <w:spacing w:after="120"/>
      </w:pPr>
      <w:r>
        <w:rPr>
          <w:rFonts w:ascii="Calibri" w:hAnsi="Calibri"/>
          <w:b w:val="0"/>
          <w:color w:val="3A4A28"/>
          <w:sz w:val="20"/>
        </w:rPr>
        <w:t>The bear case centers on elevated payout ratios, modest growth, and energy transition risk. The 106% trailing payout ratio on reported earnings raises sustainability concerns, though management points to distributable cash flow coverage [5]. Revenue declined 10.8% quarter-over-quarter, and ROE of 9.9% is below cost of capital for many investors. Pembina's 1.5% five-year dividend growth CAGR barely exceeds inflation, limiting real income growth. Long-term energy transition away from fossil fuels poses structural demand risk to pipeline volumes, though LNG exports and data center power may partially offset. The $13.3B debt load requires continued access to capital markets, and any downturn in WCSB production would directly impact throughput volumes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Greenlight Electricity Center partnership targeting 1,800 MW of natural gas-fired power for AI data centers, with first 450 MW phase under development [2]</w:t>
      </w:r>
    </w:p>
    <w:p>
      <w:pPr>
        <w:spacing w:before="40" w:after="40"/>
        <w:ind w:left="283"/>
      </w:pPr>
      <w:r>
        <w:rPr>
          <w:rFonts w:ascii="Calibri" w:hAnsi="Calibri"/>
          <w:b/>
          <w:color w:val="4A6B25"/>
          <w:sz w:val="20"/>
        </w:rPr>
        <w:t xml:space="preserve">2. </w:t>
      </w:r>
      <w:r>
        <w:rPr>
          <w:rFonts w:ascii="Calibri" w:hAnsi="Calibri"/>
          <w:b w:val="0"/>
          <w:color w:val="3A4A28"/>
          <w:sz w:val="20"/>
        </w:rPr>
        <w:t>Cedar LNG project advancing toward final investment decision, providing export access for WCSB natural gas and NGL production [1]</w:t>
      </w:r>
    </w:p>
    <w:p>
      <w:pPr>
        <w:spacing w:before="40" w:after="40"/>
        <w:ind w:left="283"/>
      </w:pPr>
      <w:r>
        <w:rPr>
          <w:rFonts w:ascii="Calibri" w:hAnsi="Calibri"/>
          <w:b/>
          <w:color w:val="4A6B25"/>
          <w:sz w:val="20"/>
        </w:rPr>
        <w:t xml:space="preserve">3. </w:t>
      </w:r>
      <w:r>
        <w:rPr>
          <w:rFonts w:ascii="Calibri" w:hAnsi="Calibri"/>
          <w:b w:val="0"/>
          <w:color w:val="3A4A28"/>
          <w:sz w:val="20"/>
        </w:rPr>
        <w:t>5-7% annual fee-based EBITDA per share CAGR guidance through 2030 supported by sanctioned projects and higher asset utilization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trailing payout ratio of 106% on reported earnings creates dividend sustainability risk if fee-based cash flows weaken or capex requirements increase [5]</w:t>
      </w:r>
    </w:p>
    <w:p>
      <w:pPr>
        <w:spacing w:before="40" w:after="40"/>
        <w:ind w:left="283"/>
      </w:pPr>
      <w:r>
        <w:rPr>
          <w:rFonts w:ascii="Calibri" w:hAnsi="Calibri"/>
          <w:b/>
          <w:color w:val="4A6B25"/>
          <w:sz w:val="20"/>
        </w:rPr>
        <w:t xml:space="preserve">2. </w:t>
      </w:r>
      <w:r>
        <w:rPr>
          <w:rFonts w:ascii="Calibri" w:hAnsi="Calibri"/>
          <w:b w:val="0"/>
          <w:color w:val="3A4A28"/>
          <w:sz w:val="20"/>
        </w:rPr>
        <w:t>Long-term energy transition and potential carbon regulation in Canada could structurally reduce pipeline throughput volumes and strand infrastructure assets [4]</w:t>
      </w:r>
    </w:p>
    <w:p>
      <w:pPr>
        <w:spacing w:before="40" w:after="40"/>
        <w:ind w:left="283"/>
      </w:pPr>
      <w:r>
        <w:rPr>
          <w:rFonts w:ascii="Calibri" w:hAnsi="Calibri"/>
          <w:b/>
          <w:color w:val="4A6B25"/>
          <w:sz w:val="20"/>
        </w:rPr>
        <w:t xml:space="preserve">3. </w:t>
      </w:r>
      <w:r>
        <w:rPr>
          <w:rFonts w:ascii="Calibri" w:hAnsi="Calibri"/>
          <w:b w:val="0"/>
          <w:color w:val="3A4A28"/>
          <w:sz w:val="20"/>
        </w:rPr>
        <w:t>Concentration in Western Canadian Sedimentary Basin exposes Pembina to regional production declines, regulatory changes, or pipeline access constraints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Pembina operates physical pipeline infrastructure, fractionation facilities, and storage caverns — assets that AI structurally cannot displace [1]. Midstream energy transportation requires regulatory permits, physical right-of-way, and massive capital investment that create permanent barriers. AI data center expansion actually increases demand for natural gas-fired power, directly benefiting Pembina's throughput volumes and its Greenlight Electricity Center partnership targeting 1,800 MW for data center customers [2]. The fee-based business model with long-term take-or-pay contracts provides additional insulation from technological disruption. AI Opportunity (1/1): Pembina's Greenlight Electricity Center LP joint venture is specifically designed to supply natural gas-powered electricity to AI data centers, representing direct AI-driven revenue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Pembina Pipeline Q4 2025 Earnings Release and 2026 Guidance — $4.125B-$4.425B adjusted EBITDA guidance, record annual volumes, February 2026</w:t>
      </w:r>
    </w:p>
    <w:p>
      <w:pPr>
        <w:spacing w:before="20" w:after="20"/>
        <w:ind w:left="170"/>
      </w:pPr>
      <w:r>
        <w:rPr>
          <w:rFonts w:ascii="Calibri" w:hAnsi="Calibri"/>
          <w:b/>
          <w:color w:val="4A6B25"/>
          <w:sz w:val="15"/>
        </w:rPr>
        <w:t xml:space="preserve">2. </w:t>
      </w:r>
      <w:r>
        <w:rPr>
          <w:rFonts w:ascii="Calibri" w:hAnsi="Calibri"/>
          <w:b w:val="0"/>
          <w:color w:val="3A4A28"/>
          <w:sz w:val="17"/>
        </w:rPr>
        <w:t>Pembina Pipeline news releases — Greenlight Electricity Center LP data center power partnership, CEO leadership transition, 2026</w:t>
      </w:r>
    </w:p>
    <w:p>
      <w:pPr>
        <w:spacing w:before="20" w:after="20"/>
        <w:ind w:left="170"/>
      </w:pPr>
      <w:r>
        <w:rPr>
          <w:rFonts w:ascii="Calibri" w:hAnsi="Calibri"/>
          <w:b/>
          <w:color w:val="4A6B25"/>
          <w:sz w:val="15"/>
        </w:rPr>
        <w:t xml:space="preserve">3. </w:t>
      </w:r>
      <w:r>
        <w:rPr>
          <w:rFonts w:ascii="Calibri" w:hAnsi="Calibri"/>
          <w:b w:val="0"/>
          <w:color w:val="3A4A28"/>
          <w:sz w:val="17"/>
        </w:rPr>
        <w:t>Pembina Pipeline corporate website — company purpose, governance, and officer team,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Pembina Pipeline Sustainability Report — ESG targets including 30% GHG intensity reduction by 2030 and 35% women workforce target</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PBA (Pembina Pipeline),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