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PBI</w:t>
      </w:r>
      <w:r>
        <w:rPr>
          <w:rFonts w:ascii="Calibri" w:hAnsi="Calibri"/>
          <w:b/>
          <w:color w:val="1A2010"/>
          <w:sz w:val="40"/>
        </w:rPr>
        <w:t xml:space="preserve">  Pitney Bowes Inc.</w:t>
      </w:r>
    </w:p>
    <w:p>
      <w:pPr>
        <w:spacing w:after="120"/>
      </w:pPr>
      <w:r>
        <w:rPr>
          <w:rFonts w:ascii="Calibri" w:hAnsi="Calibri"/>
          <w:b/>
          <w:color w:val="6E8450"/>
          <w:sz w:val="18"/>
        </w:rPr>
        <w:t>DIVIDEND SLEEVE · 2026-04-14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NYSE · United States</w:t>
      </w:r>
    </w:p>
    <w:p>
      <w:pPr>
        <w:spacing w:after="80"/>
      </w:pPr>
      <w:r>
        <w:rPr>
          <w:rFonts w:ascii="Calibri" w:hAnsi="Calibri"/>
          <w:b w:val="0"/>
          <w:color w:val="3A4A28"/>
          <w:sz w:val="20"/>
        </w:rPr>
        <w:t>Pitney Bowes is a global shipping, mailing, and logistics technology company serving small businesses, enterprises, and government clients. Following divestiture of its Global Ecommerce segment, the company is now focused on SendTech (mailing and shipping meters/software) and Presort Services (USPS workshare).</w:t>
      </w:r>
    </w:p>
    <w:p>
      <w:r>
        <w:rPr>
          <w:rFonts w:ascii="Calibri" w:hAnsi="Calibri"/>
          <w:b/>
          <w:color w:val="6E8450"/>
          <w:sz w:val="18"/>
        </w:rPr>
        <w:t>9,000 Employees · https://www.pitneybowes.com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Under the Hestia-driven activist leadership transition in 2024, Pitney Bowes completed a major restructuring — divesting its Global Ecommerce unit, cutting costs, and returning to GAAP profitability ($0.84 EPS in 2025 vs. -$1.12 loss prior year) [1]. However, the underlying business (physical mail metering) is in secular decline; the pivot is restructuring rather than innovation. AI Deployment (1/2): Pitney Bowes has a $23M strategic investment in Ambi Robotics deploying AI-based sorting robots across fulfillment centers, and has integrated Freshworks AI in customer support [2]. AI usage is improving operations but has not been disclosed as material revenue. Market Share (1/2): PBI is a meaningful player in USPS workshare and mailing meters but not a category leader in the growing shipping-software space; overall franchise is shrinking. Pipeline (0/2): No visible next-generation products with specific launch dates and revenue targets — 2026 guidance calls for flat-to-down revenue of $1.76-$1.86B [1]. R&amp;D Intensity (1/1): PBI continues to invest in SendTech software and digital shipping solutions at levels consistent with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Pitney Bowes articulates a mission around shipping, mailing, and helping clients 'do their business better' — clear but not particularly distinctive or inspiring, especially given the secular decline of the core business. Community Impact (1/2): The 'Dedication to Education' volunteer program is a multi-country literacy initiative, and the company has targeted carbon neutrality by 2040 [3]. Employee Retention (0/2): Glassdoor reviews cite disconnected senior leadership focused primarily on cost cutting, placing PBI executives in the bottom 30% of similar-size employers on Comparably [2]. Repeated layoffs and restructurings weigh on retention. Insider Buying (0/2): No material net insider buying reported in the last 12 months; activist Hestia Capital's stake drove leadership change but is event-driven rather than organic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PBI's financial profile is mixed: 2025 revenue fell 7% to $1.89B, adjusted EBIT reached $461M, adjusted EPS $1.35, and free cash flow $358M — a meaningful operational turnaround [1]. 2026 guidance is flat-to-down revenue ($1.76-$1.86B) with adjusted EPS $1.40-$1.60 [1]. However, the balance sheet carries very high leverage (debt historically exceeding equity with periods of negative book value from buybacks and losses), the 5-year revenue CAGR is negative, and the dividend was cut in 2020 before being reinstated at a low level. Liquidity floor easily cleared: ~4M avg daily volume × $11 stock price. Forward P/E near 7x reflects the market pricing a declining core business. Hard rule liquidity floor passed; Infrastructure score reflects weak growth, leverage, and limited dividend track record post-cut.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Pitney Bowes reflects a legacy franchise in secular decline, managed through activist-led cost cuts and restructuring. Purpose is thin, courage is primarily defensive, existential flexibility has been reactive rather than visionary, and the organization has experienced repeated layoffs that erode trust.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stated mission around shipping and mailing is clear but shallow — it does not articulate a distinctive future state beyond operational utility, and leadership strategy is driven by cost discipline rather than a bold cause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sentiment is poor — executives are cited as disconnected, strategy is perceived as cost cutting, and repeated layoffs/restructurings have damaged trust. Executive team ranks in the bottom 30% of similar-size peers on Comparably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PBI competes against Stamps.com, FedEx, UPS, and USPS-affiliated services but communication tends to focus on cost efficiency rather than learning from rivals' strengths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2024-2025 Global Ecommerce divestiture and restructuring represented real flexibility — a painful exit from a money-losing segment — showing willingness to shed businesses [1]. However, it was activist-driven rather than visionary.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Recent leadership (Rosenzweig interim → Wolf) executed difficult cost cuts but the overall posture has been defensive; no clear evidence of investing through the downturn to create future capability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Pitney Bowes is a restructuring story — the 2024-2025 divestiture of Global Ecommerce, aggressive cost reductions, and improved capital allocation have driven a return to GAAP profitability ($0.84 EPS vs. -$1.12 loss) and generated $358M of free cash flow in 2025 [1]. 2026 guidance targets adjusted EBIT of $410-$460M, adjusted EPS of $1.40-$1.60, and free cash flow of $340-$370M, supporting continued share buybacks and debt reduction [1]. The Presort Services segment benefits from regulated USPS workshare economics that create a defensive moat, and SendTech generates recurring software revenue. At ~7.5x forward earnings, PBI could re-rate if the turnaround proves durable and the dividend (~2.2% yield) continues to grow off the post-cut base.</w:t>
      </w:r>
    </w:p>
    <w:p>
      <w:pPr>
        <w:spacing w:after="120"/>
      </w:pPr>
      <w:r>
        <w:rPr>
          <w:rFonts w:ascii="Calibri" w:hAnsi="Calibri"/>
          <w:b w:val="0"/>
          <w:color w:val="3A4A28"/>
          <w:sz w:val="20"/>
        </w:rPr>
        <w:t>The bear case is secular: physical mail volumes have declined for two decades and continue to decline, and the core SendTech franchise is structurally AI- and digital-exposed. 2026 revenue guidance ($1.76-$1.86B) implies flat-to-down top line, confirming the business remains in runoff rather than growth mode [1]. Balance sheet leverage is elevated (debt historically exceeding equity with periods of negative book value), limiting capital return flexibility. Glassdoor sentiment is poor — executives are rated in the bottom 30% of similar-size peers — raising execution risk on further cost cuts [2]. The dividend was cut in 2020 and has only been reinstated at a low level, meaning income investors have no durable track record. AI substitution of mail/office workflows is an accelerating headwind that analysts continue to flag.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free cash flow conversion and debt reduction in 2026, supporting ~$340-$370M of cash generation [1]</w:t>
      </w:r>
    </w:p>
    <w:p>
      <w:pPr>
        <w:spacing w:before="40" w:after="40"/>
        <w:ind w:left="283"/>
      </w:pPr>
      <w:r>
        <w:rPr>
          <w:rFonts w:ascii="Calibri" w:hAnsi="Calibri"/>
          <w:b/>
          <w:color w:val="4A6B25"/>
          <w:sz w:val="20"/>
        </w:rPr>
        <w:t xml:space="preserve">2. </w:t>
      </w:r>
      <w:r>
        <w:rPr>
          <w:rFonts w:ascii="Calibri" w:hAnsi="Calibri"/>
          <w:b w:val="0"/>
          <w:color w:val="3A4A28"/>
          <w:sz w:val="20"/>
        </w:rPr>
        <w:t>Presort Services volume growth as USPS workshare economics remain favorable [1]</w:t>
      </w:r>
    </w:p>
    <w:p>
      <w:pPr>
        <w:spacing w:before="40" w:after="40"/>
        <w:ind w:left="283"/>
      </w:pPr>
      <w:r>
        <w:rPr>
          <w:rFonts w:ascii="Calibri" w:hAnsi="Calibri"/>
          <w:b/>
          <w:color w:val="4A6B25"/>
          <w:sz w:val="20"/>
        </w:rPr>
        <w:t xml:space="preserve">3. </w:t>
      </w:r>
      <w:r>
        <w:rPr>
          <w:rFonts w:ascii="Calibri" w:hAnsi="Calibri"/>
          <w:b w:val="0"/>
          <w:color w:val="3A4A28"/>
          <w:sz w:val="20"/>
        </w:rPr>
        <w:t>Activist-led capital allocation discipline (Hestia Capital) sustaining buybacks and dividend coverage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decline in physical mail and office workflows accelerated by AI-driven digitization of communications [2]</w:t>
      </w:r>
    </w:p>
    <w:p>
      <w:pPr>
        <w:spacing w:before="40" w:after="40"/>
        <w:ind w:left="283"/>
      </w:pPr>
      <w:r>
        <w:rPr>
          <w:rFonts w:ascii="Calibri" w:hAnsi="Calibri"/>
          <w:b/>
          <w:color w:val="4A6B25"/>
          <w:sz w:val="20"/>
        </w:rPr>
        <w:t xml:space="preserve">2. </w:t>
      </w:r>
      <w:r>
        <w:rPr>
          <w:rFonts w:ascii="Calibri" w:hAnsi="Calibri"/>
          <w:b w:val="0"/>
          <w:color w:val="3A4A28"/>
          <w:sz w:val="20"/>
        </w:rPr>
        <w:t>High leverage constraining capital return flexibility and creating refinancing risk if credit conditions tighten [1]</w:t>
      </w:r>
    </w:p>
    <w:p>
      <w:pPr>
        <w:spacing w:before="40" w:after="40"/>
        <w:ind w:left="283"/>
      </w:pPr>
      <w:r>
        <w:rPr>
          <w:rFonts w:ascii="Calibri" w:hAnsi="Calibri"/>
          <w:b/>
          <w:color w:val="4A6B25"/>
          <w:sz w:val="20"/>
        </w:rPr>
        <w:t xml:space="preserve">3. </w:t>
      </w:r>
      <w:r>
        <w:rPr>
          <w:rFonts w:ascii="Calibri" w:hAnsi="Calibri"/>
          <w:b w:val="0"/>
          <w:color w:val="3A4A28"/>
          <w:sz w:val="20"/>
        </w:rPr>
        <w:t>Revenue guidance for 2026 flat-to-down ($1.76-$1.86B) confirms the core franchise is not growing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Pitney Bowes sits in a secularly declining business (physical mail) that AI and digital communication have been eroding for two decades. While SendTech software and Presort Services have more durable components, AI-driven automation of office/mail workflows is a real substitution risk and analysts continue to flag the secular headwind. Presort Services benefits from regulated USPS workshare economics — a defensive moat — but the overall franchise is AI-exposed. AI Opportunity (0/1): PBI has invested in AI robotics via Ambi and integrated AI chatbots, but AI revenue is not quantified as a distinct contributor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Pitney Bowes Q4 and Full Year 2025 Earnings Release and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 Comparably Pitney Bowes leadership and AI deployment reviews (Ambi Robotics, Freshworks), 2025-2026</w:t>
      </w:r>
    </w:p>
    <w:p>
      <w:pPr>
        <w:spacing w:before="20" w:after="20"/>
        <w:ind w:left="170"/>
      </w:pPr>
      <w:r>
        <w:rPr>
          <w:rFonts w:ascii="Calibri" w:hAnsi="Calibri"/>
          <w:b/>
          <w:color w:val="4A6B25"/>
          <w:sz w:val="15"/>
        </w:rPr>
        <w:t xml:space="preserve">3. </w:t>
      </w:r>
      <w:r>
        <w:rPr>
          <w:rFonts w:ascii="Calibri" w:hAnsi="Calibri"/>
          <w:b w:val="0"/>
          <w:color w:val="3A4A28"/>
          <w:sz w:val="17"/>
        </w:rPr>
        <w:t>Pitney Bowes ESG Report and corporate responsibility disclosures, 2022-2025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