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PBR</w:t>
      </w:r>
      <w:r>
        <w:rPr>
          <w:rFonts w:ascii="Calibri" w:hAnsi="Calibri"/>
          <w:b/>
          <w:color w:val="1A2010"/>
          <w:sz w:val="40"/>
        </w:rPr>
        <w:t xml:space="preserve">  Petroleo Brasileiro S.A. - Petrobras</w:t>
      </w:r>
    </w:p>
    <w:p>
      <w:pPr>
        <w:spacing w:after="120"/>
      </w:pPr>
      <w:r>
        <w:rPr>
          <w:rFonts w:ascii="Calibri" w:hAnsi="Calibri"/>
          <w:b/>
          <w:color w:val="6E8450"/>
          <w:sz w:val="18"/>
        </w:rPr>
        <w:t>DIVIDEND SLEEVE · 2026-03-23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Brazil</w:t>
      </w:r>
    </w:p>
    <w:p>
      <w:pPr>
        <w:spacing w:after="80"/>
      </w:pPr>
      <w:r>
        <w:rPr>
          <w:rFonts w:ascii="Calibri" w:hAnsi="Calibri"/>
          <w:b w:val="0"/>
          <w:color w:val="3A4A28"/>
          <w:sz w:val="20"/>
        </w:rPr>
        <w:t>Petrobras is Brazil's state-controlled integrated energy company and one of the world's largest oil producers, with 2.7 million barrels of oil equivalent per day. The company operates primarily in deepwater pre-salt fields offshore Brazil and maintains significant refining, transportation, and distribution operations.</w:t>
      </w:r>
    </w:p>
    <w:p>
      <w:r>
        <w:rPr>
          <w:rFonts w:ascii="Calibri" w:hAnsi="Calibri"/>
          <w:b/>
          <w:color w:val="6E8450"/>
          <w:sz w:val="18"/>
        </w:rPr>
        <w:t>43,199 Employees · https://petrobras.com.br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Petrobras achieved record proven reserves — highest level in 10 years — with a 175% reserve replacement rate despite record production in 2025 [1]. The company has accelerated platform ramp-ups with P-80, P-82, and P-83 targeted for 2026-2027 sailaways. AI Deployment (2/2): ChatPetrobras, powered by Microsoft Azure OpenAI, serves 100,000+ workers for decision-making and business insights; AI-driven supply chain optimization enables next-generation order-based planning [2]. Market Share (2/2): Dominant position in Brazilian pre-salt deepwater production with growing international exploration. R&amp;D Intensity (1/1): Consistent investment in deepwater technology and renewable fuels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Petrobras's mission to provide energy with safety and respect for the environment is standard for integrated oil companies. Community Impact (1/2): Significant employer with 43,199 workers and community investment in Brazil, though Amazon drilling operations have faced indigenous rights criticism [3]. Employee Retention (1/2): Long tenured workforce with CEO Magda Chambriard having started her career at Petrobras in 1980 [2]. Insider Buying (1/2): State-controlled entity with government alignment, limiting private insider buying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Petrobras delivered adjusted EBITDA of $42.5B in 2025, operating cash flow of $36B, and net income of approximately $19.6B despite 14% YoY decline in Brent prices [1][3]. P/E of 6.0x and forward P/E of 6.2x represent deep value. ROE of 28.2% is excellent, profit margin of 22.1% is strong, and D/E of 92.0% is manageable for an integrated major. Dividend yield of 7.7% with 54% payout ratio provides attractive income. Liquidity floor: 27M avg volume x $18.80 = $508M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Petrobras displays mixed infinite game characteristics. The company plays a long game in deepwater exploration with multi-decade field development timelines, but Brazilian government control introduces political short-termism. The tension between fossil fuel expansion and climate commitments at COP30 reveals competing finite and infinite motivations.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Petrobras's stated mission of energy provision is pragmatic rather than aspirational. The company allocates only 15% of its $97B 2025-2029 budget to decarbonization and clean energy, suggesting the long-term energy transition cause is secondary to short-term hydrocarbon production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cultural transformation described by former executive Alan Mössinger — forming mixed teams of data scientists and domain experts — suggests growing trust in collaborative approaches [2]. However, government interference and political appointee cycles undermine team stability.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Petrobras competes with Shell, TotalEnergies, and Equinor in deepwater operations. The company's technological leadership in pre-salt extraction positions it competitively, though it lacks the energy transition ambition of European majors.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Petrobras has begun exploring renewable fuels and hydrogen but remains overwhelmingly committed to oil and gas. The controversial Amazon Equatorial Margin drilling approval demonstrates commitment to the fossil fuel paradigm rather than existential flexibility toward clean energy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Amazon drilling despite environmental opposition and ahead of COP30 shows boldness, though critics argue it demonstrates the opposite of courageous environmental leadership [3]. The AI deployment across 100,000 employees shows technological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Petrobras trades at a compelling 6.0x P/E with a 7.7% dividend yield, backed by $42.5B adjusted EBITDA, record reserve levels (175% replacement rate), and 11% production growth in 2025 [1]. The company targets 95% refinery utilization in Q1 2026 and has multiple platform sailaways planned for 2026-2027. With operating cash flow of $36B and a commitment to reducing debt to $65B over five years, shareholder returns should remain robust even in a lower oil price environment.</w:t>
      </w:r>
    </w:p>
    <w:p>
      <w:pPr>
        <w:spacing w:after="120"/>
      </w:pPr>
      <w:r>
        <w:rPr>
          <w:rFonts w:ascii="Calibri" w:hAnsi="Calibri"/>
          <w:b w:val="0"/>
          <w:color w:val="3A4A28"/>
          <w:sz w:val="20"/>
        </w:rPr>
        <w:t>The bear case includes Brent's 14% YoY decline that compressed earnings 69.6% and the company's heavy dependence on commodity prices beyond its control. Government ownership introduces political risk — dividend policy, capital allocation, and strategic direction can shift with Brazilian elections. The Amazon Equatorial Margin drilling controversy and January 2026 fluid leak create ESG overhang [3]. Only 15% of capex directed to clean energy leaves Petrobras exposed to long-term stranded asset risk, with IISD estimating up to $36B in potential stranded asset losses under a 1.5°C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P-80, P-82, and P-83 platform sailaways in 2026-2027 adding significant new production capacity from high-margin pre-salt fields</w:t>
      </w:r>
    </w:p>
    <w:p>
      <w:pPr>
        <w:spacing w:before="40" w:after="40"/>
        <w:ind w:left="283"/>
      </w:pPr>
      <w:r>
        <w:rPr>
          <w:rFonts w:ascii="Calibri" w:hAnsi="Calibri"/>
          <w:b/>
          <w:color w:val="4A6B25"/>
          <w:sz w:val="20"/>
        </w:rPr>
        <w:t xml:space="preserve">2. </w:t>
      </w:r>
      <w:r>
        <w:rPr>
          <w:rFonts w:ascii="Calibri" w:hAnsi="Calibri"/>
          <w:b w:val="0"/>
          <w:color w:val="3A4A28"/>
          <w:sz w:val="20"/>
        </w:rPr>
        <w:t>Refinery utilization targeting 95% in Q1 2026 with expansion of high-value product offerings including renewable fuels</w:t>
      </w:r>
    </w:p>
    <w:p>
      <w:pPr>
        <w:spacing w:before="40" w:after="40"/>
        <w:ind w:left="283"/>
      </w:pPr>
      <w:r>
        <w:rPr>
          <w:rFonts w:ascii="Calibri" w:hAnsi="Calibri"/>
          <w:b/>
          <w:color w:val="4A6B25"/>
          <w:sz w:val="20"/>
        </w:rPr>
        <w:t xml:space="preserve">3. </w:t>
      </w:r>
      <w:r>
        <w:rPr>
          <w:rFonts w:ascii="Calibri" w:hAnsi="Calibri"/>
          <w:b w:val="0"/>
          <w:color w:val="3A4A28"/>
          <w:sz w:val="20"/>
        </w:rPr>
        <w:t>Oil price recovery from current ~$69 Brent levels would significantly leverage earnings given 2.7M boe/day production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 Brent would pressure dividend sustainability and free cash flow generation</w:t>
      </w:r>
    </w:p>
    <w:p>
      <w:pPr>
        <w:spacing w:before="40" w:after="40"/>
        <w:ind w:left="283"/>
      </w:pPr>
      <w:r>
        <w:rPr>
          <w:rFonts w:ascii="Calibri" w:hAnsi="Calibri"/>
          <w:b/>
          <w:color w:val="4A6B25"/>
          <w:sz w:val="20"/>
        </w:rPr>
        <w:t xml:space="preserve">2. </w:t>
      </w:r>
      <w:r>
        <w:rPr>
          <w:rFonts w:ascii="Calibri" w:hAnsi="Calibri"/>
          <w:b w:val="0"/>
          <w:color w:val="3A4A28"/>
          <w:sz w:val="20"/>
        </w:rPr>
        <w:t>Brazilian government political interference in capital allocation, dividend policy, and strategic direction ahead of 2026 elections</w:t>
      </w:r>
    </w:p>
    <w:p>
      <w:pPr>
        <w:spacing w:before="40" w:after="40"/>
        <w:ind w:left="283"/>
      </w:pPr>
      <w:r>
        <w:rPr>
          <w:rFonts w:ascii="Calibri" w:hAnsi="Calibri"/>
          <w:b/>
          <w:color w:val="4A6B25"/>
          <w:sz w:val="20"/>
        </w:rPr>
        <w:t xml:space="preserve">3. </w:t>
      </w:r>
      <w:r>
        <w:rPr>
          <w:rFonts w:ascii="Calibri" w:hAnsi="Calibri"/>
          <w:b w:val="0"/>
          <w:color w:val="3A4A28"/>
          <w:sz w:val="20"/>
        </w:rPr>
        <w:t>Amazon Equatorial Margin drilling controversy and January 2026 fluid leak create mounting ESG risk and potential regulatory 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Oil and gas exploration, deepwater drilling, and refining are physical-world operations that AI cannot substitute. Petrobras's pre-salt technology and regulatory moat in Brazilian waters provide substantial protection [1]. However, long-term energy transition driven by AI-optimized renewables poses secular risk. AI Opportunity (1/1): ChatPetrobras deployment across 100,000+ employees and AI-powered supply chain optimization demonstrate meaningful AI-as-enabler adoption, improving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Petrobras Q4 2025 Earnings Release and 2025 Annual Results Presentation,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Petrobras AI and digital transformation coverage — Microsoft, Medium (Alan Mössinger), 2024-2025</w:t>
      </w:r>
    </w:p>
    <w:p>
      <w:pPr>
        <w:spacing w:before="20" w:after="20"/>
        <w:ind w:left="170"/>
      </w:pPr>
      <w:r>
        <w:rPr>
          <w:rFonts w:ascii="Calibri" w:hAnsi="Calibri"/>
          <w:b/>
          <w:color w:val="4A6B25"/>
          <w:sz w:val="15"/>
        </w:rPr>
        <w:t xml:space="preserve">3. </w:t>
      </w:r>
      <w:r>
        <w:rPr>
          <w:rFonts w:ascii="Calibri" w:hAnsi="Calibri"/>
          <w:b w:val="0"/>
          <w:color w:val="3A4A28"/>
          <w:sz w:val="17"/>
        </w:rPr>
        <w:t>Greenpeace, IISD, and InfoAmazonia — Petrobras Amazon drilling and ESG analysis,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PBR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