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w:t>
      </w:r>
      <w:r>
        <w:rPr>
          <w:rFonts w:ascii="Calibri" w:hAnsi="Calibri"/>
          <w:b/>
          <w:color w:val="1A2010"/>
          <w:sz w:val="40"/>
        </w:rPr>
        <w:t xml:space="preserve">  Prosperity Bancshares, Inc.</w:t>
      </w:r>
    </w:p>
    <w:p>
      <w:pPr>
        <w:spacing w:after="120"/>
      </w:pPr>
      <w:r>
        <w:rPr>
          <w:rFonts w:ascii="Calibri" w:hAnsi="Calibri"/>
          <w:b/>
          <w:color w:val="6E8450"/>
          <w:sz w:val="18"/>
        </w:rPr>
        <w:t>DIVIDEND SLEEVE · 2026-05-01 · Inspire: 18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Prosperity Bancshares, Inc. operates as a bank holding company for Prosperity Bank, providing financial products and services to businesses and consumers across Texas and Oklahoma. The company offers deposit products, residential and commercial real estate loans, commercial and industrial lending, agricultural loans, consumer loans, digital banking, trust and wealth management, and treasury services. Founded in 1983 and headquartered in Houston, Texas.</w:t>
      </w:r>
    </w:p>
    <w:p>
      <w:r>
        <w:rPr>
          <w:rFonts w:ascii="Calibri" w:hAnsi="Calibri"/>
          <w:b/>
          <w:color w:val="6E8450"/>
          <w:sz w:val="18"/>
        </w:rPr>
        <w:t>4,429 Employees · https://www.prosperitybankusa.com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Prosperity Bancshares has grown primarily through acquisitions — most recently the Lone Star State Bancshares merger in Q1 2026 that expanded total assets from $38.5B to $43.6B — but this is a roll-up strategy rather than product innovation or business model transformation [1]. The company has not launched meaningful new products or entered new markets organically. AI Deployment (0/2): No evidence of AI-powered products or quantified AI-driven efficiency gains; the bank emphasizes traditional digital banking capabilities and security measures without specific AI deployment [3]. Market Share Leadership (1/2): Prosperity is one of the largest community bank holding companies in Texas, a meaningful regional player, but does not define or lead a category nationally [1][4]. Product Pipeline (0/2): No next-generation products announced with specific timelines; the pipeline consists of acquisition integration rather than organic product innovation. R&amp;D Intensity (1/1): Technology spending is at or near industry average for community banks, with investment in digital banking infrastructure, though not at the forefront of banking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Prosperity Bank's purpose centers on serving communities with relationship-based banking — clear and identifies its role, but is interchangeable with most community banks. The company emphasizes treating employees and customers well, which reflects genuine values but does not articulate a vision of a future state beyond the obvious [3][5]. Community &amp; Charitable Impact (1/2): Prosperity Bank participates in community development through its branch network across Texas and Oklahoma, with general philanthropy and community engagement programs, though no signature charitable foundation or specific dollar-amount programs were identified [5]. Employee Retention (1/2): Glassdoor rating of 3.3/5 with 50% recommending the company — average for the industry. CEO David Zalman's 25-year tenure as CEO provides extraordinary leadership continuity, suggesting an organization that values stability [3][6]. Insider Buying (1/2): Management holds significant equity positions, and the long-tenured leadership team has economic alignment with shareholders, though no large-scale net insider buying pattern was identified in recent months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Prosperity Bancshares shows strong financial metrics for a community bank: profit margin of 40.4% is excellent, forward P/E of 9.65x is deeply discounted, and the payout ratio of 42.8% sits near the 40% target [4]. The dividend profile is strong with 25+ consecutive years of payments and 8 consecutive years of growth, though the 5-year dividend CAGR of 4.6% trails the 6% target. Weaknesses include low ROE of 6.7% (well below the 15% target, reflecting the conservative, asset-heavy community banking model and recent acquisition goodwill dilution), and modest organic revenue growth at 4.9% YoY and 2.6% three-year CAGR. D/E excluded as banks use regulatory capital ratios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Prosperity Bancshares demonstrates strong infinite game characteristics rooted in CEO David Zalman's 25-year tenure and a consistent community banking strategy that has endured through multiple economic cycles including the 2008 financial crisis, the 2014-2016 oil price collapse, and COVID-19. The acquisition-driven growth model shows discipline and patience rather than quarterly earnings optimization. However, the company's purpose is generic, and the roll-up strategy — while proven — prioritizes scale over transformative vision [1][3][5].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Prosperity Bank's purpose — community-focused relationship banking — is real but shallow in Sinek's framework. It is interchangeable with any community bank's value proposition and does not articulate a vision of a future state that invites sacrifice. However, the 43-year history of consistent execution in Texas community banking demonstrates institutional durability even without an articulated Just Cause [3][5].</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David Zalman's 25-year tenure creates extraordinary organizational stability and represents one of the longest CEO tenures in U.S. banking. The leadership team emphasizes culture, empowerment, and open communication as central to success. Chairman H.E. Timanus Jr. has been with the organization since its founding era. This leadership continuity creates institutional knowledge depth and suggests a high-trust environment where people stay for the long term [3][6].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Prosperity's acquisition strategy implicitly acknowledges that competitors have built valuable franchises worth acquiring rather than destroying. The company's approach to growth — acquiring well-run community banks and retaining their management — shows respect for rivals' capabilities. Management does not engage in aggressive competitive rhetoric; instead, earnings calls focus on internal execution and integration quality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Prosperity has evolved through acquisitions from a small community bank in 1983 to a $43.6B institution — a meaningful transformation in scale and geographic reach. The Lone Star State Bancshares acquisition in Q1 2026 extended the franchise into Oklahoma. However, the core business model has never changed — it remains a traditional community bank focused on deposits and lending. The evolution is incremental, not transformative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Zalman demonstrated courage by maintaining the acquisition-and-integration strategy through multiple crises — continuing to acquire banks during the 2008 financial crisis when many peers were retrenching. Prosperity maintained its dividend through COVID-19 when some banks paused distributions. However, no examples of the company walking away from profitable but misaligned business lines or making contrarian bets that sacrificed near-term earnings for long-term capability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Prosperity Bancshares is a deeply valued Texas community bank franchise trading at just 9.65x forward earnings with a 3.42% dividend yield backed by 25+ consecutive years of payments and 8 years of consecutive growth [1][4]. Q1 2026 delivered a revenue beat with 19.6% YoY growth, net interest margin expansion of 21 bps to 3.51%, and adjusted EPS of $1.50 — all driven by the Lone Star State Bancshares acquisition and improving rate dynamics. CEO Zalman's 25-year track record of disciplined acquisition and integration provides a proven playbook for continued franchise value creation in the consolidating Texas banking market.</w:t>
      </w:r>
    </w:p>
    <w:p>
      <w:pPr>
        <w:spacing w:after="120"/>
      </w:pPr>
      <w:r>
        <w:rPr>
          <w:rFonts w:ascii="Calibri" w:hAnsi="Calibri"/>
          <w:b w:val="0"/>
          <w:color w:val="3A4A28"/>
          <w:sz w:val="20"/>
        </w:rPr>
        <w:t>The bear case centers on Prosperity's dependence on acquisitions for growth — organic revenue growth of just 4.9% YoY and 2.6% three-year CAGR suggests the core franchise has limited ability to grow without M&amp;A fuel [1][4]. ROE of 6.7% is far below the 15% target and cost of capital, reflecting goodwill-laden balance sheet dilution from serial acquisitions. The $42.5M in merger-related expenses from the Lone Star integration temporarily depressed GAAP EPS to $1.16 and will continue to weigh on reported earnings. Prosperity's concentrated Texas and Oklahoma footprint exposes the bank to energy sector and real estate cycles — a 2014-style oil price collapse or Texas housing correction could spike credit losses. The PEG ratio of 4.18 suggests the market sees limited growth ahead relative to the valuation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Lone Star State Bancshares integration driving $43.6B in total assets with expected cost synergies and cross-selling opportunities across 300+ banking locations in Texas and Oklahoma</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expansion from 3.30% to 3.51% with further upside as the loan book reprices higher and the deposit mix improves, potentially reaching 3.60%+ by year-end 2026</w:t>
      </w:r>
    </w:p>
    <w:p>
      <w:pPr>
        <w:spacing w:before="40" w:after="40"/>
        <w:ind w:left="283"/>
      </w:pPr>
      <w:r>
        <w:rPr>
          <w:rFonts w:ascii="Calibri" w:hAnsi="Calibri"/>
          <w:b/>
          <w:color w:val="4A6B25"/>
          <w:sz w:val="20"/>
        </w:rPr>
        <w:t xml:space="preserve">3. </w:t>
      </w:r>
      <w:r>
        <w:rPr>
          <w:rFonts w:ascii="Calibri" w:hAnsi="Calibri"/>
          <w:b w:val="0"/>
          <w:color w:val="3A4A28"/>
          <w:sz w:val="20"/>
        </w:rPr>
        <w:t>Continued Texas banking consolidation creating acquisition opportunities for Prosperity's proven roll-up strategy at attractive valuations as smaller community banks seek exit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Serial acquisition dependence — organic revenue growth of 2.6% CAGR suggests the core franchise cannot grow meaningfully without M&amp;A, creating execution risk if deal flow dries up or pricing becomes competitive</w:t>
      </w:r>
    </w:p>
    <w:p>
      <w:pPr>
        <w:spacing w:before="40" w:after="40"/>
        <w:ind w:left="283"/>
      </w:pPr>
      <w:r>
        <w:rPr>
          <w:rFonts w:ascii="Calibri" w:hAnsi="Calibri"/>
          <w:b/>
          <w:color w:val="4A6B25"/>
          <w:sz w:val="20"/>
        </w:rPr>
        <w:t xml:space="preserve">2. </w:t>
      </w:r>
      <w:r>
        <w:rPr>
          <w:rFonts w:ascii="Calibri" w:hAnsi="Calibri"/>
          <w:b w:val="0"/>
          <w:color w:val="3A4A28"/>
          <w:sz w:val="20"/>
        </w:rPr>
        <w:t>Texas and Oklahoma geographic concentration exposes the bank to correlated energy sector and real estate cycle risks — a 30%+ decline in oil prices could materially increase credit losses in commercial and agricultural loan portfolios</w:t>
      </w:r>
    </w:p>
    <w:p>
      <w:pPr>
        <w:spacing w:before="40" w:after="40"/>
        <w:ind w:left="283"/>
      </w:pPr>
      <w:r>
        <w:rPr>
          <w:rFonts w:ascii="Calibri" w:hAnsi="Calibri"/>
          <w:b/>
          <w:color w:val="4A6B25"/>
          <w:sz w:val="20"/>
        </w:rPr>
        <w:t xml:space="preserve">3. </w:t>
      </w:r>
      <w:r>
        <w:rPr>
          <w:rFonts w:ascii="Calibri" w:hAnsi="Calibri"/>
          <w:b w:val="0"/>
          <w:color w:val="3A4A28"/>
          <w:sz w:val="20"/>
        </w:rPr>
        <w:t>ROE of 6.7% well below cost of capital reflects persistent goodwill dilution from acquisitions — if the market re-rates community bank multiples downward, the stock's valuation floor is limited by low underlying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Community banking is protected by deep regulatory requirements (FDIC, state banking regulators), physical branch relationships in Texas and Oklahoma markets, high switching costs for commercial and agricultural lending relationships, and the inherent complexity of relationship-based credit decisions. However, fintech competitors and AI-powered lending platforms are increasingly targeting small business and consumer lending — segments where Prosperity competes — and AI-driven underwriting could compress margins over time [3][4]. The bank's rural and suburban Texas footprint provides some insulation from digital-first competitors who focus on urban markets. AI Opportunity (1/1): While Prosperity has not deployed specific AI products, the bank benefits from industry-wide AI adoption in fraud detection, compliance monitoring, and credit decisioning tools that are standard in modern banking platforms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Prosperity Bancshares Q1 2026 Earnings Release, April 2026</w:t>
      </w:r>
    </w:p>
    <w:p>
      <w:pPr>
        <w:spacing w:before="20" w:after="20"/>
        <w:ind w:left="170"/>
      </w:pPr>
      <w:r>
        <w:rPr>
          <w:rFonts w:ascii="Calibri" w:hAnsi="Calibri"/>
          <w:b/>
          <w:color w:val="4A6B25"/>
          <w:sz w:val="15"/>
        </w:rPr>
        <w:t xml:space="preserve">2. </w:t>
      </w:r>
      <w:r>
        <w:rPr>
          <w:rFonts w:ascii="Calibri" w:hAnsi="Calibri"/>
          <w:b w:val="0"/>
          <w:color w:val="3A4A28"/>
          <w:sz w:val="17"/>
        </w:rPr>
        <w:t>Prosperity Bancshares Q1 2026 Earnings Call Transcript, April 2026</w:t>
      </w:r>
    </w:p>
    <w:p>
      <w:pPr>
        <w:spacing w:before="20" w:after="20"/>
        <w:ind w:left="170"/>
      </w:pPr>
      <w:r>
        <w:rPr>
          <w:rFonts w:ascii="Calibri" w:hAnsi="Calibri"/>
          <w:b/>
          <w:color w:val="4A6B25"/>
          <w:sz w:val="15"/>
        </w:rPr>
        <w:t xml:space="preserve">3. </w:t>
      </w:r>
      <w:r>
        <w:rPr>
          <w:rFonts w:ascii="Calibri" w:hAnsi="Calibri"/>
          <w:b w:val="0"/>
          <w:color w:val="3A4A28"/>
          <w:sz w:val="17"/>
        </w:rPr>
        <w:t>Prosperity Bank Corporate Website — Executive Officers and Management,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PB key statistics,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Prosperity Bank Corporate Website — About and Community, accessed May 2026</w:t>
      </w:r>
    </w:p>
    <w:p>
      <w:pPr>
        <w:spacing w:before="20" w:after="20"/>
        <w:ind w:left="170"/>
      </w:pPr>
      <w:r>
        <w:rPr>
          <w:rFonts w:ascii="Calibri" w:hAnsi="Calibri"/>
          <w:b/>
          <w:color w:val="4A6B25"/>
          <w:sz w:val="15"/>
        </w:rPr>
        <w:t xml:space="preserve">6. </w:t>
      </w:r>
      <w:r>
        <w:rPr>
          <w:rFonts w:ascii="Calibri" w:hAnsi="Calibri"/>
          <w:b w:val="0"/>
          <w:color w:val="3A4A28"/>
          <w:sz w:val="17"/>
        </w:rPr>
        <w:t>Glassdoor Reviews — Prosperity Bank, accessed May 2026</w:t>
      </w:r>
    </w:p>
    <w:p>
      <w:pPr>
        <w:spacing w:before="20" w:after="20"/>
        <w:ind w:left="170"/>
      </w:pPr>
      <w:r>
        <w:rPr>
          <w:rFonts w:ascii="Calibri" w:hAnsi="Calibri"/>
          <w:b/>
          <w:color w:val="4A6B25"/>
          <w:sz w:val="15"/>
        </w:rPr>
        <w:t xml:space="preserve">7. </w:t>
      </w:r>
      <w:r>
        <w:rPr>
          <w:rFonts w:ascii="Calibri" w:hAnsi="Calibri"/>
          <w:b w:val="0"/>
          <w:color w:val="3A4A28"/>
          <w:sz w:val="17"/>
        </w:rPr>
        <w:t>Simply Wall St — PB Management and Insider Activity Analysis,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