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PCAR</w:t>
      </w:r>
      <w:r>
        <w:rPr>
          <w:rFonts w:ascii="Calibri" w:hAnsi="Calibri"/>
          <w:b/>
          <w:color w:val="1A2010"/>
          <w:sz w:val="40"/>
        </w:rPr>
        <w:t xml:space="preserve">  PACCAR Inc.</w:t>
      </w:r>
    </w:p>
    <w:p>
      <w:pPr>
        <w:spacing w:after="120"/>
      </w:pPr>
      <w:r>
        <w:rPr>
          <w:rFonts w:ascii="Calibri" w:hAnsi="Calibri"/>
          <w:b/>
          <w:color w:val="6E8450"/>
          <w:sz w:val="18"/>
        </w:rPr>
        <w:t>DIVIDEND SLEEVE · 2026-04-01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NASDAQ · United States</w:t>
      </w:r>
    </w:p>
    <w:p>
      <w:pPr>
        <w:spacing w:after="80"/>
      </w:pPr>
      <w:r>
        <w:rPr>
          <w:rFonts w:ascii="Calibri" w:hAnsi="Calibri"/>
          <w:b w:val="0"/>
          <w:color w:val="3A4A28"/>
          <w:sz w:val="20"/>
        </w:rPr>
        <w:t>PACCAR Inc., founded in 1905, designs, manufactures, and distributes light-, medium-, and heavy-duty commercial trucks under the Kenworth, Peterbilt, and DAF nameplates. The company also operates Parts distribution and Financial Services segments, with parts and financial services now comprising 71% of total profit.</w:t>
      </w:r>
    </w:p>
    <w:p>
      <w:r>
        <w:rPr>
          <w:rFonts w:ascii="Calibri" w:hAnsi="Calibri"/>
          <w:b/>
          <w:color w:val="6E8450"/>
          <w:sz w:val="18"/>
        </w:rPr>
        <w:t>25,900 Employees · https://www.paccar.com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PACCAR has successfully launched battery-electric trucks (Peterbilt 579EV, DAF XD Electric) and developed hydrogen fuel cell prototypes, while simultaneously transforming its business mix — Parts and Financial Services now generate 71% of profit, materially reducing cyclicality versus prior truck cycles [1]. The company invested over $846M in capital and R&amp;D in 2022 alone. AI Deployment (1/2): PACCAR has deployed Blue Yonder's Advanced Planning &amp; Scheduling (APS) solution with AI-driven optimization across global manufacturing operations, and is exploring AI-driven predictive maintenance for connected trucks and generative AI for accelerating vehicle design [2]. Market Share (2/2): Kenworth and Peterbilt are top-2 Class 8 truck manufacturers in North America, while DAF holds leading market share in European heavy trucks — PACCAR consistently commands premium pricing and dealer loyalty across all three brands [1]. Pipeline (2/2): EPA 2027 NOx emissions standards transition expected to drive pre-buy activity, hydrogen fuel cell trucks in development, autonomous driving partnerships, and $725-775M in planned capital projects plus $450-500M in R&amp;D for 2026 [1]. R&amp;D Intensity (1/1): R&amp;D spending of $450-500M planned for 2026 is above-average for the commercial vehicle industry, reflecting commitment to zero-emission and autonomous technologies.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PACCAR's purpose focuses on being a global technology leader in the design, manufacture, and support of premium commercial trucks — clear and specific but not deeply inspirational or transformative beyond industry excellence. Community Impact (1/2): The PACCAR Foundation provides philanthropic support, and the company has earned an A or A- CDP rating for ten consecutive years, demonstrating environmental commitment [3]. However, no distinctive community investment programs with specific dollar amounts were identified. Employee Retention (1/2): Leadership tenure is notably long — Mark C. Pigott served 45+ years including 17 years as CEO, and CEO Preston Feight has 26+ years in the commercial vehicle industry [2]. This continuity suggests a culture that retains senior talent. Insider Buying (0/2): No specific evidence of meaningful net insider buying in the last 12 months; the Pigott family's significant ownership stake is legacy rather than recent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PACCAR's financial profile remains strong despite the cyclical truck downturn. D/E of 81.9% is slightly above the 70% target but includes Financial Services leverage that is standard for captive finance operations [5]. ROE of 12.9% is below the 15% target, reflecting the trough year — adjusted net income of $2.64B was the fourth-highest in company history despite revenue declining 13.7% to $28.44B [1]. Forward P/E of 17.3x reflects expectations of cyclical recovery, well below the 20x target. Profit margin of 8.4% is modest but typical for capital-intensive truck manufacturing. The dividend profile is exceptional: 85 consecutive years paid (since 1941), approximately 15+ years of regular dividend growth, payout ratio of 29.3%, and 5yr dividend growth CAGR of approximately 14.2% (regular dividends) plus substantial special dividends ($1.40 in 2025, $3.00 in 2024) [5]. Liquidity easily cleared at $375M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PACCAR has played the long game for 121 years, maintaining premium brand positioning through multiple truck cycles while evolving its business mix toward less cyclical Parts and Financial Services. The Pigott family's multigenerational leadership provides unusual strategic continuity. However, the company's purpose remains rooted in truck manufacturing excellence rather than a transformative vision, and the EV/hydrogen transition represents an existential test still in early innings.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PACCAR's cause — building the world's finest commercial trucks — is genuine and has been consistently pursued since 1905 across multiple leadership transitions and industry cycles (2/3 pts). The Pigott family's multigenerational stewardship provides unusual continuity of purpose. However, 'making premium trucks' is more of an excellence standard than a transformative Just Cause that envisions a future state beyond the current business. The zero-emission vehicle push adds a forward-looking element but hasn't yet been proven through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PACCAR demonstrates adequate organizational trust with stable leadership and long employee tenures (1/2 pts). The CIO and CISO's publicized partnership model emphasizes 'trust and respect' as cultural values [2]. Mark Pigott's 45+ year career at the company and CEO Feight's 26+ years suggest a culture that develops and retains talent from within. However, the company employs 25,900 people across global manufacturing operations, and no specific voluntary turnover or employee satisfaction data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PACCAR's competitive approach is focused on self-improvement rather than rival destruction (1/1 pt). Management discusses Daimler Truck, Volvo, and TRATON as competitive forces that drive innovation in emissions technology and vehicle quality, framing competition as motivation to maintain premium positioning rather than a war to win market share [1]. The acknowledgment that 'tech-first rivals like Waymo' have 'stronger AI DNA' reflects intellectual honesty about competitive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PACCAR is in the early stages of a potentially transformative pivot from diesel to electric and hydrogen powertrains, investing heavily in both battery-electric and fuel cell technology (1/2 pts) [1]. The shift of profit mix toward Parts (71% of profit from Parts and Financial Services) represents a meaningful business model evolution that reduces cyclicality. However, the core identity remains truck manufacturing, and the zero-emission transition is still in early commercial stages — not yet a completed existential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PACCAR has invested $725-775M in capital projects and $450-500M in R&amp;D during a cyclical downturn year when revenue declined 13.7%, demonstrating willingness to invest for the future rather than cut costs to protect near-term earnings (1/2 pts) [1]. The $264.5M civil litigation charge in Europe was absorbed rather than contested, showing willingness to resolve issues and move forward. However, PACCAR's approach to the EV/AV transition has been measured rather than aggressively courageous — the company is following the industry rather than leading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PACCAR is a best-in-class commercial truck manufacturer navigating a cyclical trough with remarkable financial discipline — FY2025 adjusted net income of $2.64B ($5.01/share) was the fourth-highest in the company's 120-year history despite revenue declining 13.7% to $28.44B [1]. The business has been structurally de-risked: Parts and Financial Services now generate 71% of profit, with Financial Services achieving record annual revenue of $2.21B and pretax income rising 11% to $485M [1]. At 17.3x forward P/E, the stock prices in cyclical recovery with consolidated gross margins expected to improve to 12.5-13% in Q1 2026 [1]. CEO Feight expects 2026 to be 'better' as freight conditions improve and EPA 2027 pre-buy activity begins. The dividend track record is exceptional — 85 consecutive years of payments with a 14.2% 5yr regular dividend growth CAGR plus special dividends.</w:t>
      </w:r>
    </w:p>
    <w:p>
      <w:pPr>
        <w:spacing w:after="120"/>
      </w:pPr>
      <w:r>
        <w:rPr>
          <w:rFonts w:ascii="Calibri" w:hAnsi="Calibri"/>
          <w:b w:val="0"/>
          <w:color w:val="3A4A28"/>
          <w:sz w:val="20"/>
        </w:rPr>
        <w:t>The bear case centers on cyclical risk and the EV/AV transition. Revenue declined 13.7% in 2025 and could decline further if freight recession extends, with NA Class 8 retail sales guidance of 230,000-270,000 units implying continued uncertainty [1]. The $264.5M European civil litigation charge signals regulatory/legal risk in international markets. Profit margin of 8.4% is structurally low for capital-intensive manufacturing, limiting earnings power even in recovery. The transition to zero-emission vehicles represents existential execution risk — PACCAR must invest heavily in battery-electric and hydrogen technologies while competitors like Tesla Semi and Chinese manufacturers (BYD, CATL) could capture share with cost advantages [2]. D/E of 81.9% includes Financial Services leverage that adds balance sheet complexity. Current yield of 1.14% (excluding specials) is below the 2% threshold that would attract pure income investors, making total return dependent on special dividends that management can adjust.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EPA 2027 NOx emissions standards transition expected to drive pre-buy activity in 2026-2027, with management guiding for improved gross margins of 12.5-13% in Q1 2026 [1]</w:t>
      </w:r>
    </w:p>
    <w:p>
      <w:pPr>
        <w:spacing w:before="40" w:after="40"/>
        <w:ind w:left="283"/>
      </w:pPr>
      <w:r>
        <w:rPr>
          <w:rFonts w:ascii="Calibri" w:hAnsi="Calibri"/>
          <w:b/>
          <w:color w:val="4A6B25"/>
          <w:sz w:val="20"/>
        </w:rPr>
        <w:t xml:space="preserve">2. </w:t>
      </w:r>
      <w:r>
        <w:rPr>
          <w:rFonts w:ascii="Calibri" w:hAnsi="Calibri"/>
          <w:b w:val="0"/>
          <w:color w:val="3A4A28"/>
          <w:sz w:val="20"/>
        </w:rPr>
        <w:t>Parts revenue guidance of 4-8% growth in 2026 and Financial Services record performance demonstrate the durability of the 71% non-truck profit mix that structurally reduces cyclicality [1]</w:t>
      </w:r>
    </w:p>
    <w:p>
      <w:pPr>
        <w:spacing w:before="40" w:after="40"/>
        <w:ind w:left="283"/>
      </w:pPr>
      <w:r>
        <w:rPr>
          <w:rFonts w:ascii="Calibri" w:hAnsi="Calibri"/>
          <w:b/>
          <w:color w:val="4A6B25"/>
          <w:sz w:val="20"/>
        </w:rPr>
        <w:t xml:space="preserve">3. </w:t>
      </w:r>
      <w:r>
        <w:rPr>
          <w:rFonts w:ascii="Calibri" w:hAnsi="Calibri"/>
          <w:b w:val="0"/>
          <w:color w:val="3A4A28"/>
          <w:sz w:val="20"/>
        </w:rPr>
        <w:t>Zero-emission vehicle portfolio expansion — battery-electric Peterbilt 579EV and DAF XD Electric in production, with hydrogen fuel cell development positioning PACCAR for the next regulatory cycle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Extended freight recession — if North American Class 8 retail sales come in below the 230,000 unit low-end of guidance, truck segment revenue could decline further and special dividends may be reduced [1]</w:t>
      </w:r>
    </w:p>
    <w:p>
      <w:pPr>
        <w:spacing w:before="40" w:after="40"/>
        <w:ind w:left="283"/>
      </w:pPr>
      <w:r>
        <w:rPr>
          <w:rFonts w:ascii="Calibri" w:hAnsi="Calibri"/>
          <w:b/>
          <w:color w:val="4A6B25"/>
          <w:sz w:val="20"/>
        </w:rPr>
        <w:t xml:space="preserve">2. </w:t>
      </w:r>
      <w:r>
        <w:rPr>
          <w:rFonts w:ascii="Calibri" w:hAnsi="Calibri"/>
          <w:b w:val="0"/>
          <w:color w:val="3A4A28"/>
          <w:sz w:val="20"/>
        </w:rPr>
        <w:t>EV/AV transition execution — PACCAR must invest billions in zero-emission and autonomous technology while tech-first rivals (Tesla, Waymo) and cost-advantaged Chinese manufacturers pursue the same market [2]</w:t>
      </w:r>
    </w:p>
    <w:p>
      <w:pPr>
        <w:spacing w:before="40" w:after="40"/>
        <w:ind w:left="283"/>
      </w:pPr>
      <w:r>
        <w:rPr>
          <w:rFonts w:ascii="Calibri" w:hAnsi="Calibri"/>
          <w:b/>
          <w:color w:val="4A6B25"/>
          <w:sz w:val="20"/>
        </w:rPr>
        <w:t xml:space="preserve">3. </w:t>
      </w:r>
      <w:r>
        <w:rPr>
          <w:rFonts w:ascii="Calibri" w:hAnsi="Calibri"/>
          <w:b w:val="0"/>
          <w:color w:val="3A4A28"/>
          <w:sz w:val="20"/>
        </w:rPr>
        <w:t>European regulatory and legal risk — the $264.5M civil litigation charge reflects ongoing exposure, and EU emissions regulations are accelerating the zero-emission transition timeline faster than North America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Commercial truck manufacturing is fundamentally a physical-world business with high barriers to entry — regulatory certifications, dealer networks, manufacturing infrastructure, and parts logistics cannot be replicated by AI [2]. PACCAR's three premium brands (Kenworth, Peterbilt, DAF) have dealer relationships built over decades, and EPA emissions compliance creates regulatory moats. While autonomous driving technology could eventually change the industry structure, PACCAR is actively partnering in this space rather than being disrupted by it. Analysts view PACCAR as an AI beneficiary through smart manufacturing and connected fleet services, not an AI victim. AI Opportunity (1/1): PACCAR generates revenue from AI-adjacent connected truck services and has deployed AI-driven manufacturing optimization through Blue Yonder's APS platform, with AI predictive maintenance capabilities being developed for its connected vehicle fleet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PACCAR FY2025 Earnings Release — $28.44B revenue, $2.64B adjusted net income (4th-highest ever), Q1 2026 margin guidance of 12.5-13%, January 2026</w:t>
      </w:r>
    </w:p>
    <w:p>
      <w:pPr>
        <w:spacing w:before="20" w:after="20"/>
        <w:ind w:left="170"/>
      </w:pPr>
      <w:r>
        <w:rPr>
          <w:rFonts w:ascii="Calibri" w:hAnsi="Calibri"/>
          <w:b/>
          <w:color w:val="4A6B25"/>
          <w:sz w:val="15"/>
        </w:rPr>
        <w:t xml:space="preserve">2. </w:t>
      </w:r>
      <w:r>
        <w:rPr>
          <w:rFonts w:ascii="Calibri" w:hAnsi="Calibri"/>
          <w:b w:val="0"/>
          <w:color w:val="3A4A28"/>
          <w:sz w:val="17"/>
        </w:rPr>
        <w:t>PACCAR strategic analysis — AI/autonomous driving initiatives, Blue Yonder APS deployment, competitive positioning in EV/AV transition, leadership team profiles</w:t>
      </w:r>
    </w:p>
    <w:p>
      <w:pPr>
        <w:spacing w:before="20" w:after="20"/>
        <w:ind w:left="170"/>
      </w:pPr>
      <w:r>
        <w:rPr>
          <w:rFonts w:ascii="Calibri" w:hAnsi="Calibri"/>
          <w:b/>
          <w:color w:val="4A6B25"/>
          <w:sz w:val="15"/>
        </w:rPr>
        <w:t xml:space="preserve">3. </w:t>
      </w:r>
      <w:r>
        <w:rPr>
          <w:rFonts w:ascii="Calibri" w:hAnsi="Calibri"/>
          <w:b w:val="0"/>
          <w:color w:val="3A4A28"/>
          <w:sz w:val="17"/>
        </w:rPr>
        <w:t>PACCAR ESG/Sustainability — CDP A/A- rating for 10 consecutive years, Sustainalytics Medium ESG risk, scope 1/2 GHG reduction targets</w:t>
      </w:r>
    </w:p>
    <w:p>
      <w:pPr>
        <w:spacing w:before="20" w:after="20"/>
        <w:ind w:left="170"/>
      </w:pPr>
      <w:r>
        <w:rPr>
          <w:rFonts w:ascii="Calibri" w:hAnsi="Calibri"/>
          <w:b/>
          <w:color w:val="4A6B25"/>
          <w:sz w:val="15"/>
        </w:rPr>
        <w:t xml:space="preserve">4. </w:t>
      </w:r>
      <w:r>
        <w:rPr>
          <w:rFonts w:ascii="Calibri" w:hAnsi="Calibri"/>
          <w:b w:val="0"/>
          <w:color w:val="3A4A28"/>
          <w:sz w:val="17"/>
        </w:rPr>
        <w:t>TipRanks / AlphaStreet — PACCAR earnings call highlights: resilient profits, growth plans, Parts/Financial Services mix shift</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PCAR (PACCAR Inc.),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