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PCG</w:t>
      </w:r>
      <w:r>
        <w:rPr>
          <w:rFonts w:ascii="Calibri" w:hAnsi="Calibri"/>
          <w:b/>
          <w:color w:val="1A2010"/>
          <w:sz w:val="40"/>
        </w:rPr>
        <w:t xml:space="preserve">  Pacific Gas &amp; Electric Co.</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PG&amp;E Corporation operates as a regulated electric and natural gas utility serving approximately 16 million people in northern and central California. The company is investing heavily in grid modernization and data center interconnection, with 3.6 GW of data center projects now in final engineering and 9% annual EPS growth guidance through 2030.</w:t>
      </w:r>
    </w:p>
    <w:p>
      <w:r>
        <w:rPr>
          <w:rFonts w:ascii="Calibri" w:hAnsi="Calibri"/>
          <w:b/>
          <w:color w:val="6E8450"/>
          <w:sz w:val="18"/>
        </w:rPr>
        <w:t>29,010 Employees · https://www.pgecorp.com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PG&amp;E has executed meaningful operational transformation since emerging from bankruptcy in 2020, reducing O&amp;M costs (2.5% cut in 2025) and lowering residential electric rates 11% from January 2024 levels [1]. However, the core regulated utility business model remains unchanged. AI Deployment (0/2): No evidence of AI deployment generating measurable revenue or cost savings in PG&amp;E's utility operations [1]. Market Share (2/2): PG&amp;E is the dominant utility in Northern/Central California serving 16 million people with no competitive alternative for most customers — a regulated monopoly position [1]. Pipeline (1/2): 3.6 GW of data center projects in final engineering and $700M+ cumulative O&amp;M savings provide specific growth drivers, but regulated utilities have inherently constrained growth optionality [1]. R&amp;D Intensity (0/1): Regulated utilities have minimal R&amp;D spending as a percentage of revenue; investment goes to rate base rather than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PG&amp;E's mission of delivering safe, reliable, affordable, and clean energy to California customers is clear but generic for a regulated utility [1]. Community Impact (1/2): PG&amp;E employs 29,010 people in California and has delivered four residential rate reductions since January 2024, directly benefiting millions of customers [1]. The utility serves a critical community need. Employee Retention (1/2): With 29,010 employees managing complex grid infrastructure including wildfire mitigation, PG&amp;E maintains operational continuity, suggesting reasonable retention in a utility workforce [1]. Insider Buying (0/2): No evidence of meaningful net insider buying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PG&amp;E's infrastructure reflects a recovering utility with solid regulated growth. Forward P/E of 9.6x and trailing P/E of 14.7x are attractive for a utility projecting 9% EPS growth [1]. D/E of 187.0% is high but standard for utilities with large regulated capital structures [6]. ROE of 8.2% is below the 15% target but acceptable for a regulated utility. Profit margin of 10.4% is modest but improving [6]. Revenue growth of 2.6% YoY is low, consistent with regulated utility dynamics. PEG ratio of 0.65 is attractive, suggesting the market undervalues the growth embedded in the rate base expansion [1]. Free cash flow is deeply negative at -$3.4B reflecting heavy capital investment. Liquidity floor easily cleared: 21.3M avg vol x $17.32 = $369M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PG&amp;E plays a moderately infinite game as a regulated utility with 100+ year infrastructure that must plan decades ahead for grid investment, wildfire mitigation, and clean energy transition. The 9% EPS growth guidance through 2030 and rate base expansion demonstrate long-term thinking. However, the company's catastrophic wildfire history and bankruptcy in 2019 represent the ultimate failure of infinite-game stewardship.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Delivering safe, reliable, affordable, and clean energy to 16 million Californians is a genuine just cause essential to public welfare [1]. PG&amp;E has delivered four residential rate reductions and targets customer bills flat or decreasing by 2027, demonstrating commitment to affordability. However, the wildfire legacy casts a permanent shadow on the company's credibility as a responsible steward.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PG&amp;E's 29,010-person workforce manages critical infrastructure across one of the most fire-prone regions in the world, requiring extraordinary trust and coordination [1]. The 2.5% O&amp;M cost reduction while improving service demonstrates operational discipline. However, the company's safety culture failures that led to the 2018 Camp Fire (85 deaths) and subsequent bankruptcy remain a profound trust deficit.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PG&amp;E does not face direct competitors in its service territory. However, it benchmarks against Edison International, Sempra, and other California utilities on operational performance, wildfire mitigation, and customer satisfaction [1]. The competitive dynamic is with regulators and public expectations rather than market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PG&amp;E emerged from bankruptcy in 2020 and has rebuilt into a growing utility with 9% annual EPS growth guidance [1]. The pivot toward serving data center load (3.6 GW in final engineering) demonstrates adaptability to new demand drivers. The rate base growth strategy and O&amp;M savings demonstrate ability to transform within the regulated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Doubling the annual dividend to $0.20 and projecting 20% payout ratio by 2028 shows confidence in the recovery trajectory [1]. Investing $700M+ in cumulative O&amp;M savings and delivering four rate reductions while maintaining grid safety investments demonstrates willingness to balance multiple stakeholder interests in a difficult post-bankruptcy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PG&amp;E offers a compelling regulated utility growth story: 9% annual EPS growth guidance through 2030, 9% rate base growth, forward P/E of 9.6x, and PEG ratio of 0.65 — making it one of the cheapest growth utilities in the market [1]. The 3.6 GW of data center projects in final engineering provide a secular AI-driven demand catalyst that could accelerate rate base investment. Non-GAAP core EPS tightened to $1.64-1.66 for 2026 (10% growth), dividend doubled to $0.20 with a path to 20% payout by 2028, and $700M+ in cumulative O&amp;M savings demonstrate operational discipline. Analyst targets (~$21) imply 21% upside from current price [1].</w:t>
      </w:r>
    </w:p>
    <w:p>
      <w:pPr>
        <w:spacing w:after="120"/>
      </w:pPr>
      <w:r>
        <w:rPr>
          <w:rFonts w:ascii="Calibri" w:hAnsi="Calibri"/>
          <w:b w:val="0"/>
          <w:color w:val="3A4A28"/>
          <w:sz w:val="20"/>
        </w:rPr>
        <w:t>The bear case is dominated by wildfire liability: the recent 4.8% stock decline reflects rising concerns over increasing wildfire liabilities, and PG&amp;E's catastrophic history (Camp Fire, 2019 bankruptcy) means any major fire season could reignite existential financial risk [1]. D/E of 187% and negative free cash flow of -$3.4B reflect the heavy capital investment needed for grid hardening and wildfire mitigation. California's regulatory environment creates political risk around rate cases and wildfire cost recovery. ROE of 8.2% is below the cost of capital for many investors, and the dividend yield of just 1.15% is unattractive for income seekers. The company's beta of 0.31 limits upside in bull markets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3.6 GW of data center projects in final engineering advancing to construction, driving accelerated rate base growth</w:t>
      </w:r>
    </w:p>
    <w:p>
      <w:pPr>
        <w:spacing w:before="40" w:after="40"/>
        <w:ind w:left="283"/>
      </w:pPr>
      <w:r>
        <w:rPr>
          <w:rFonts w:ascii="Calibri" w:hAnsi="Calibri"/>
          <w:b/>
          <w:color w:val="4A6B25"/>
          <w:sz w:val="20"/>
        </w:rPr>
        <w:t xml:space="preserve">2. </w:t>
      </w:r>
      <w:r>
        <w:rPr>
          <w:rFonts w:ascii="Calibri" w:hAnsi="Calibri"/>
          <w:b w:val="0"/>
          <w:color w:val="3A4A28"/>
          <w:sz w:val="20"/>
        </w:rPr>
        <w:t>2026 non-GAAP core EPS of $1.64-1.66 representing 10% growth, with 9% annual EPS growth guided through 2030</w:t>
      </w:r>
    </w:p>
    <w:p>
      <w:pPr>
        <w:spacing w:before="40" w:after="40"/>
        <w:ind w:left="283"/>
      </w:pPr>
      <w:r>
        <w:rPr>
          <w:rFonts w:ascii="Calibri" w:hAnsi="Calibri"/>
          <w:b/>
          <w:color w:val="4A6B25"/>
          <w:sz w:val="20"/>
        </w:rPr>
        <w:t xml:space="preserve">3. </w:t>
      </w:r>
      <w:r>
        <w:rPr>
          <w:rFonts w:ascii="Calibri" w:hAnsi="Calibri"/>
          <w:b w:val="0"/>
          <w:color w:val="3A4A28"/>
          <w:sz w:val="20"/>
        </w:rPr>
        <w:t>Dividend doubled to $0.20 with path to 20% payout ratio by 2028, signaling management confidence in sustained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liability risk remains existential — any major fire event could trigger liability exceeding insurance and reserve capacity</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of -$3.4B reflecting massive capital requirements for grid hardening and wildfire mitigation</w:t>
      </w:r>
    </w:p>
    <w:p>
      <w:pPr>
        <w:spacing w:before="40" w:after="40"/>
        <w:ind w:left="283"/>
      </w:pPr>
      <w:r>
        <w:rPr>
          <w:rFonts w:ascii="Calibri" w:hAnsi="Calibri"/>
          <w:b/>
          <w:color w:val="4A6B25"/>
          <w:sz w:val="20"/>
        </w:rPr>
        <w:t xml:space="preserve">3. </w:t>
      </w:r>
      <w:r>
        <w:rPr>
          <w:rFonts w:ascii="Calibri" w:hAnsi="Calibri"/>
          <w:b w:val="0"/>
          <w:color w:val="3A4A28"/>
          <w:sz w:val="20"/>
        </w:rPr>
        <w:t>California regulatory environment creates political risk around rate case outcomes and wildfire cost recovery mechanisms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Electric utilities are essential physical infrastructure that AI structurally cannot displace — AI data centers require massive amounts of electricity, directly increasing demand for PG&amp;E's regulated services [1]. PG&amp;E has 3.6 GW of data center projects in final engineering, making it a direct beneficiary of AI expansion. No AI product can substitute for physical electricity delivery and grid infrastructure. AI Opportunity (1/1): PG&amp;E generates quantifiable revenue from serving AI data center load — 3.6 GW in final engineering represents billions in future rate base additions and associated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PG&amp;E Corporation Full Year 2025 Results and 2026 EPS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PG&amp;E Q3 2025 Results and data center project updates, October 2025</w:t>
      </w:r>
    </w:p>
    <w:p>
      <w:pPr>
        <w:spacing w:before="20" w:after="20"/>
        <w:ind w:left="170"/>
      </w:pPr>
      <w:r>
        <w:rPr>
          <w:rFonts w:ascii="Calibri" w:hAnsi="Calibri"/>
          <w:b/>
          <w:color w:val="4A6B25"/>
          <w:sz w:val="15"/>
        </w:rPr>
        <w:t xml:space="preserve">3. </w:t>
      </w:r>
      <w:r>
        <w:rPr>
          <w:rFonts w:ascii="Calibri" w:hAnsi="Calibri"/>
          <w:b w:val="0"/>
          <w:color w:val="3A4A28"/>
          <w:sz w:val="17"/>
        </w:rPr>
        <w:t>PG&amp;E wildfire liability and stock performance, StocksTrade, March 2026</w:t>
      </w:r>
    </w:p>
    <w:p>
      <w:pPr>
        <w:spacing w:before="20" w:after="20"/>
        <w:ind w:left="170"/>
      </w:pPr>
      <w:r>
        <w:rPr>
          <w:rFonts w:ascii="Calibri" w:hAnsi="Calibri"/>
          <w:b/>
          <w:color w:val="4A6B25"/>
          <w:sz w:val="15"/>
        </w:rPr>
        <w:t xml:space="preserve">4. </w:t>
      </w:r>
      <w:r>
        <w:rPr>
          <w:rFonts w:ascii="Calibri" w:hAnsi="Calibri"/>
          <w:b w:val="0"/>
          <w:color w:val="3A4A28"/>
          <w:sz w:val="17"/>
        </w:rPr>
        <w:t>PG&amp;E investor relations — rate base growth and dividend announcements</w:t>
      </w:r>
    </w:p>
    <w:p>
      <w:pPr>
        <w:spacing w:before="20" w:after="20"/>
        <w:ind w:left="170"/>
      </w:pPr>
      <w:r>
        <w:rPr>
          <w:rFonts w:ascii="Calibri" w:hAnsi="Calibri"/>
          <w:b/>
          <w:color w:val="4A6B25"/>
          <w:sz w:val="15"/>
        </w:rPr>
        <w:t xml:space="preserve">5. </w:t>
      </w:r>
      <w:r>
        <w:rPr>
          <w:rFonts w:ascii="Calibri" w:hAnsi="Calibri"/>
          <w:b w:val="0"/>
          <w:color w:val="3A4A28"/>
          <w:sz w:val="17"/>
        </w:rPr>
        <w:t>Nasdaq — PCG earnings and financial overview,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PCG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