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PCOR</w:t>
      </w:r>
      <w:r>
        <w:rPr>
          <w:rFonts w:ascii="Calibri" w:hAnsi="Calibri"/>
          <w:b/>
          <w:color w:val="1A2010"/>
          <w:sz w:val="40"/>
        </w:rPr>
        <w:t xml:space="preserve">  Procore Technologies, Inc.</w:t>
      </w:r>
    </w:p>
    <w:p>
      <w:pPr>
        <w:spacing w:after="120"/>
      </w:pPr>
      <w:r>
        <w:rPr>
          <w:rFonts w:ascii="Calibri" w:hAnsi="Calibri"/>
          <w:b/>
          <w:color w:val="6E8450"/>
          <w:sz w:val="18"/>
        </w:rPr>
        <w:t>GROWTH SLEEVE · 2026-04-14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Procore Technologies provides cloud-based construction management software that connects owners, general contractors, specialty contractors, and design professionals on a single platform. The company serves the global construction industry with project management, financial management, resource management, and AI-driven workflow tools.</w:t>
      </w:r>
    </w:p>
    <w:p>
      <w:r>
        <w:rPr>
          <w:rFonts w:ascii="Calibri" w:hAnsi="Calibri"/>
          <w:b/>
          <w:color w:val="6E8450"/>
          <w:sz w:val="18"/>
        </w:rPr>
        <w:t>4,000 Employees · https://www.procore.com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Founder Tooey Courtemanche pivoted from carpentry to building a $1.3B ARR construction SaaS leader over 23 years; the company has executed multiple AI acquisitions (Avata 2020, INDUS.AI 2021, Datagrid 2025-2026)[1][2]. AI Deployment with Measurable Results (2/2): Procore Copilot and Procore Agents have 66,000 unique active AI users and nearly 700 customers building thousands of custom AI agents in production[1]. Market Share Leadership (2/2): Construction software category leader with 2,700+ customers at $100K+ ARR and 20% growth in six/seven-figure deals[1]. Product Pipeline (1/2): Datagrid acquisition and AI agents roadmap visible but specific revenue contribution targets not quantified[3]. R&amp;D Intensity (0/1): Below software industry average — Procore is currently unprofitable with -7.6% margin, and Datagrid integration is not yet revenue-generating.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'Procore does more than build software — we're a mission-driven platform empowering people to build the places that shape our world'[2] is specific and connects software work to physical-world outcomes. Values of Openness, Optimism, and Ownership are referenced consistently. Community Impact (1/2): Procore.org foundation runs construction-industry workforce development programs but specific dollar amounts not prominent. Employee Retention (2/2): Founder-led culture cited as 'second to none', with Courtemanche staying as Board Chair and Ajei Gopal stepping in as CEO in November 2025 — clean leadership succession plan is rare evidence of stability[2]. Insider Buying (0/2): Net insider selling — 687,831 shares sold over three months signaling bearish insider sentiment; CLO Singer sold $348K and Director Kevin O sold $524K in February 2026[3].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6.3% scores 1.0 (well below 70% target). ROE -7.9% scores 0.0 (negative, at floor). Revenue Growth YoY 15.6% scores 1.0 (above target). Revenue Growth 5yr CAGR ~25% scores 1.0. Forward P/E 22.4 scores 0.94. Profit Margin -7.6% scores 0.0 (negative). Forward PEG ~2.5 scores 0.25. Weighted: D/E 1.0 (1x) + ROE 0.0 (2x=0.0) + RevYoY 1.0 (1x) + Rev5yr 1.0 (2x=2.0) + FwdPE 0.94 (1x) + Margin 0.0 (1x) + FwdPEG 0.25 (2x=0.5) = 5.44 / 10 = 5. Liquidity: 2.68M x $50.39 = $134.8M passes liquidity floor. Strong balance sheet (cash-rich, low debt) is offset by current GAAP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Procore demonstrates strong infinite-game characteristics: founder-led for 23 years, mission-driven culture, planned leadership succession to Ajei Gopal, and willingness to invest through losses to build long-term AI capability. Insider selling and current unprofitability temper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'Empowering people to build the places that shape our world' is a distinctive cause connecting software to physical infrastructure[2]. Courtemanche's carpenter-to-CEO origin story validates authentic commitment, and the cause has shaped 23 years of construction-only focus.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High-trust organization (2 pts). Founder-led culture cited as 'second to none' with values of Openness, Optimism, Ownership[2]. Smooth CEO transition and continued employee engagement suggest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 Management commentary focuses on category leadership and ARR expansion rather than learning from rivals. No explicit acknowledgment of competitors as motivational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Pivoted from on-premise/installed software to cloud SaaS, then to AI-native workflows via three AI acquisitions[2]. Not transformative — Procore has remained construction-only — but shows steady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Continuing to invest heavily in AI (Datagrid acquisition, custom agents platform) despite GAAP losses shows long-term orientation[3]. CEO succession from Courtemanche to Ajei Gopal in November 2025 reflects governance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Procore is the category-defining construction management SaaS platform with $1.3B in 2025 revenue (+15%) and 69% YoY free cash flow growth to $215M[1]. The company has 2,700+ customers at $100K+ ARR with 20% growth in six/seven-figure deals, demonstrating successful upmarket motion. AI adoption is real and accelerating: 66,000 unique AI users and ~700 customers building custom AI agents validate Procore's AI-native strategy[1]. The Datagrid acquisition and 2026 guidance for $1.49B revenue (13% growth) with 17.5-18% non-GAAP operating margin and 19% FCF margin point to durable software economics in a vertical that AI cannot easily disrupt.</w:t>
      </w:r>
    </w:p>
    <w:p>
      <w:pPr>
        <w:spacing w:after="120"/>
      </w:pPr>
      <w:r>
        <w:rPr>
          <w:rFonts w:ascii="Calibri" w:hAnsi="Calibri"/>
          <w:b w:val="0"/>
          <w:color w:val="3A4A28"/>
          <w:sz w:val="20"/>
        </w:rPr>
        <w:t>However, the stock dropped 13% on a recent trading day amid analyst concerns about decelerating growth and intensifying AI competition[3]. Insider selling is heavy — 687,831 shares over three months including the CLO and a Director — and GAAP profitability remains negative (-7.6% margin, -7.9% ROE). The CEO transition from founder Courtemanche to Ajei Gopal in November 2025 introduces execution risk during a critical AI monetization window. Forward P/E of 22.4 is reasonable but Forward PEG of ~2.5 reflects modest growth deceleration concerns. Bear case: AI competition compresses pricing while sales investment fails to accelerate top-line growth back to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$1.49B (13% growth) with 17.5-18% non-GAAP operating margin and 19% FCF margin</w:t>
      </w:r>
    </w:p>
    <w:p>
      <w:pPr>
        <w:spacing w:before="40" w:after="40"/>
        <w:ind w:left="283"/>
      </w:pPr>
      <w:r>
        <w:rPr>
          <w:rFonts w:ascii="Calibri" w:hAnsi="Calibri"/>
          <w:b/>
          <w:color w:val="4A6B25"/>
          <w:sz w:val="20"/>
        </w:rPr>
        <w:t xml:space="preserve">2. </w:t>
      </w:r>
      <w:r>
        <w:rPr>
          <w:rFonts w:ascii="Calibri" w:hAnsi="Calibri"/>
          <w:b w:val="0"/>
          <w:color w:val="3A4A28"/>
          <w:sz w:val="20"/>
        </w:rPr>
        <w:t>Datagrid AI acquisition integration and AI agent monetization (66,000 active AI users)</w:t>
      </w:r>
    </w:p>
    <w:p>
      <w:pPr>
        <w:spacing w:before="40" w:after="40"/>
        <w:ind w:left="283"/>
      </w:pPr>
      <w:r>
        <w:rPr>
          <w:rFonts w:ascii="Calibri" w:hAnsi="Calibri"/>
          <w:b/>
          <w:color w:val="4A6B25"/>
          <w:sz w:val="20"/>
        </w:rPr>
        <w:t xml:space="preserve">3. </w:t>
      </w:r>
      <w:r>
        <w:rPr>
          <w:rFonts w:ascii="Calibri" w:hAnsi="Calibri"/>
          <w:b w:val="0"/>
          <w:color w:val="3A4A28"/>
          <w:sz w:val="20"/>
        </w:rPr>
        <w:t>Smooth CEO transition to Ajei Gopal in November 2025 and continued category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insider selling — 687,831 shares sold over three months signals bearish insider sentiment</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from 25%+ historical to 13% guided 2026 raises long-term sustainability concerns</w:t>
      </w:r>
    </w:p>
    <w:p>
      <w:pPr>
        <w:spacing w:before="40" w:after="40"/>
        <w:ind w:left="283"/>
      </w:pPr>
      <w:r>
        <w:rPr>
          <w:rFonts w:ascii="Calibri" w:hAnsi="Calibri"/>
          <w:b/>
          <w:color w:val="4A6B25"/>
          <w:sz w:val="20"/>
        </w:rPr>
        <w:t xml:space="preserve">3. </w:t>
      </w:r>
      <w:r>
        <w:rPr>
          <w:rFonts w:ascii="Calibri" w:hAnsi="Calibri"/>
          <w:b w:val="0"/>
          <w:color w:val="3A4A28"/>
          <w:sz w:val="20"/>
        </w:rPr>
        <w:t>AI competition from horizontal players (Microsoft, generic AI tools) targeting construction vertical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Procore's vertical specialization (construction), deep workflow integration with general contractors and owners, regulatory/compliance documentation, and physical-world coordination role create meaningful moats against generic AI tools. Construction is a fragmented, document-intensive, regulated industry where Procore's network effects (owners require contractors to use Procore) and proprietary project data are defensive. Some risk from horizontal AI players targeting verticals, but analysts continue to rate Procore Buy/Strong Buy. AI Opportunity (1/1): 66,000 AI users and 700 customers building custom AI agents represent meaningful AI engagement; Datagrid acquisition signals AI monetization roadmap[1][3].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Procore Q4 and Full Year 2025 Financial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Procore corporate culture and leadership materials,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Procore PCOR insider activity and analyst commentary,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