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PDI</w:t>
      </w:r>
      <w:r>
        <w:rPr>
          <w:rFonts w:ascii="Calibri" w:hAnsi="Calibri"/>
          <w:b/>
          <w:color w:val="1A2010"/>
          <w:sz w:val="40"/>
        </w:rPr>
        <w:t xml:space="preserve">  PIMCO Dynamic Income Fund</w:t>
      </w:r>
    </w:p>
    <w:p>
      <w:pPr>
        <w:spacing w:after="120"/>
      </w:pPr>
      <w:r>
        <w:rPr>
          <w:rFonts w:ascii="Calibri" w:hAnsi="Calibri"/>
          <w:b/>
          <w:color w:val="6E8450"/>
          <w:sz w:val="18"/>
        </w:rPr>
        <w:t>DIVIDEND SLEEVE · 2026-04-09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PIMCO Dynamic Income Fund is a diversified closed-end fixed income fund managed by Allianz Global Investors and co-managed by Pacific Investment Management Company (PIMCO). The $7.7B fund invests in global fixed income markets across non-agency residential and commercial mortgage-backed securities, high-yield corporate bonds, emerging market debt, and sovereign bonds. It seeks current income as its primary objective and capital appreciation as its secondary objective.</w:t>
      </w:r>
    </w:p>
    <w:p>
      <w:r>
        <w:rPr>
          <w:rFonts w:ascii="Calibri" w:hAnsi="Calibri"/>
          <w:b/>
          <w:color w:val="6E8450"/>
          <w:sz w:val="18"/>
        </w:rPr>
        <w:t>https://www.pimco.com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PDI has delivered consistent distributions since its 2012 IPO — 14 consecutive years of payments — but the fund structure and strategy have not meaningfully evolved; it remains a leveraged fixed income CEF following the same multi-sector bond mandate established at inception [1]. AI Deployment (0/2): No evidence of AI-powered portfolio management, algorithmic trading, or quantitative innovation specific to PDI; PIMCO uses traditional fundamental fixed income analysis supplemented by quantitative tools, but nothing AI-differentiated [2]. Market Share (1/2): PIMCO is one of the world's largest fixed income managers with ~$2T AUM, and PDI at $7.7B is one of the largest CEFs by assets — a meaningful player in the closed-end fund space [1]. Pipeline (1/2): PIMCO's broader platform continues to launch new funds and strategies, and PDI benefits from PIMCO's research infrastructure across global fixed income markets. Pipeline is institutional, not product-specific. R&amp;D Intensity (0/1): As a passively structured CEF, there is no R&amp;D function; portfolio management is the intellectual capital, but that exists at the PIMCO level, not the fund level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PIMCO's mission is to deliver superior investment returns, risk management, and service to clients — a standard asset management purpose statement that is interchangeable with any large fund manager. PDI itself has no mission beyond its investment objective (current income) [2]. Community Impact (0/2): As a closed-end fund, PDI has no community programs, charitable initiatives, or social impact beyond generating income for its shareholders. PIMCO as a firm has some ESG integration efforts but nothing distinctive to PDI [3]. Employee Retention (1/2): PIMCO is known for retaining top fixed income talent and has maintained leadership continuity post-Bill Gross departure in 2014, suggesting adequate organizational stability. However, this is at the management company level, not the fund level [2]. Insider Buying (0/2): No evidence of fund manager insider buying of PDI shares; closed-end fund managers typically have limited personal investment in the funds they manage.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PDI's infrastructure reflects the structural challenges of a high-yield leveraged closed-end fund. The trailing P/E of 8.5x is attractive, but forward P/E is unavailable for CEFs [4]. Payout ratio of 128.5% indicates distributions exceed net investment income — the fund is returning capital alongside income, a sustainability concern [4]. The fund has paid distributions for 14 consecutive years since its 2012 inception, but distributions have not grown — they've been flat at $2.652/year since 2019 after declining from $4.13 in 2014 [4]. The 1.67% expense ratio and use of leverage amplify both returns and risks. Liquidity is ample: 3.04M avg daily volume × $17.51 = $53.2M [4]. Most core infrastructure metrics (D/E, ROE, revenue growth, profit margin) are not applicable to closed-end fund structures.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PIMCO as an organization demonstrates some infinite game characteristics — surviving the Bill Gross departure, maintaining a 53-year track record, and building a durable fixed income franchise. However, PDI as a closed-end fund is a finite product with a fixed mandate, and the high-yield distribution model optimizes for current income rather than long-term compounding. The fund serves income-seeking investors playing a finite game by design.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PIMCO's broader cause — delivering superior risk-adjusted returns through deep fixed income expertise — has been validated by over 50 years of institutional track record and surviving the founder's departure in 2014 [2]. However, PDI itself has no Just Cause beyond generating monthly distributions for income investors. The cause is functional (making money for clients) rather than aspirational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 demonstrated organizational resilience by successfully transitioning from Bill Gross's personality-driven culture to a team-based investment process after his 2014 departure — one of the most remarkable cultural transitions in asset management history [2]. The firm retained top talent including Dan Ivascyn (CIO) who manages PDI, suggesting a trust-based environment. This is adequate evidence of organizational trust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 operates in a highly competitive fixed income landscape alongside BlackRock, Vanguard, and DoubleLine, and the firm's public commentary regularly acknowledges competitive dynamics. Dan Ivascyn's investment approach explicitly studies competitor positioning to identify opportunities — the competitive mindset is constructive rather than destructive (1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PIMCO evolved from a single-product bond fund in 1971 to a multi-trillion dollar platform spanning every fixed income sector globally, and survived the existential threat of losing founder Bill Gross in 2014 while growing AUM by over 50% [2]. This is genuine existential flexibility at the management company level, though PDI itself has never pivoted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PDI operates on autopilot as a mandate-constrained CEF — there are no examples of courageous leadership decisions at the fund level. PIMCO as a firm showed courage by maintaining investment discipline during the 2020 COVID credit crisis (buying distressed MBS when others fled), but this is standard asset management execution rather than principled sacrifice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PIMCO Dynamic Income Fund offers an attractive 15.4% distribution yield backed by one of the world's premier fixed income managers (PIMCO, ~$2T AUM) and CIO Dan Ivascyn's expertise in structured credit and mortgage-backed securities [1]. The $7.7B fund provides diversified exposure to non-agency MBS, high-yield corporate bonds, and emerging market debt, with the current market price trading near NAV (modest ~5% premium, below historical averages) offering a reasonable entry point [1]. The fund benefits from potential Federal Reserve rate cuts in 2026, which would boost the value of its existing bond holdings while maintaining high coupon income. PDI has paid distributions continuously since its 2012 inception — 14 consecutive years — and the closed-end structure means no forced selling from redemptions.</w:t>
      </w:r>
    </w:p>
    <w:p>
      <w:pPr>
        <w:spacing w:after="120"/>
      </w:pPr>
      <w:r>
        <w:rPr>
          <w:rFonts w:ascii="Calibri" w:hAnsi="Calibri"/>
          <w:b w:val="0"/>
          <w:color w:val="3A4A28"/>
          <w:sz w:val="20"/>
        </w:rPr>
        <w:t>The bear case is significant. The 128.5% payout ratio means PDI distributes more than it earns in net investment income, creating distribution sustainability risk — the fund may be returning capital alongside income, which erodes NAV over time [4]. Distributions have been flat at $2.652/year since 2019, down 36% from the 2014 peak of $4.13, indicating secular income compression [4]. The 1.67% expense ratio is among the highest for fixed income funds, and leverage amplifies losses in credit downturns — if spreads widen sharply, PDI's leveraged MBS and high-yield exposure creates outsized downside risk. The fund is heavily U.S.-centric and sensitive to the pace and magnitude of Fed rate cuts; if inflation reaccelerates and cuts are delayed, both NAV and distribution capacity suffer. Closed-end funds can trade at deep discounts during market stress, creating additional price risk beyond portfolio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in 2026 — lower rates boost existing bond holdings' market value and may allow PIMCO to capture spread compression in mortgage-backed and high-yield credit [1]</w:t>
      </w:r>
    </w:p>
    <w:p>
      <w:pPr>
        <w:spacing w:before="40" w:after="40"/>
        <w:ind w:left="283"/>
      </w:pPr>
      <w:r>
        <w:rPr>
          <w:rFonts w:ascii="Calibri" w:hAnsi="Calibri"/>
          <w:b/>
          <w:color w:val="4A6B25"/>
          <w:sz w:val="20"/>
        </w:rPr>
        <w:t xml:space="preserve">2. </w:t>
      </w:r>
      <w:r>
        <w:rPr>
          <w:rFonts w:ascii="Calibri" w:hAnsi="Calibri"/>
          <w:b w:val="0"/>
          <w:color w:val="3A4A28"/>
          <w:sz w:val="20"/>
        </w:rPr>
        <w:t>Current premium-to-NAV of ~5% is below historical averages, suggesting an attractive entry point relative to PDI's typical valuation range [1]</w:t>
      </w:r>
    </w:p>
    <w:p>
      <w:pPr>
        <w:spacing w:before="40" w:after="40"/>
        <w:ind w:left="283"/>
      </w:pPr>
      <w:r>
        <w:rPr>
          <w:rFonts w:ascii="Calibri" w:hAnsi="Calibri"/>
          <w:b/>
          <w:color w:val="4A6B25"/>
          <w:sz w:val="20"/>
        </w:rPr>
        <w:t xml:space="preserve">3. </w:t>
      </w:r>
      <w:r>
        <w:rPr>
          <w:rFonts w:ascii="Calibri" w:hAnsi="Calibri"/>
          <w:b w:val="0"/>
          <w:color w:val="3A4A28"/>
          <w:sz w:val="20"/>
        </w:rPr>
        <w:t>Structured credit recovery — non-agency MBS and distressed debt holdings benefit from improving housing markets and credit conditions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Distribution sustainability — 128.5% payout ratio indicates distributions exceed net investment income, creating NAV erosion risk if credit income doesn't improve [4]</w:t>
      </w:r>
    </w:p>
    <w:p>
      <w:pPr>
        <w:spacing w:before="40" w:after="40"/>
        <w:ind w:left="283"/>
      </w:pPr>
      <w:r>
        <w:rPr>
          <w:rFonts w:ascii="Calibri" w:hAnsi="Calibri"/>
          <w:b/>
          <w:color w:val="4A6B25"/>
          <w:sz w:val="20"/>
        </w:rPr>
        <w:t xml:space="preserve">2. </w:t>
      </w:r>
      <w:r>
        <w:rPr>
          <w:rFonts w:ascii="Calibri" w:hAnsi="Calibri"/>
          <w:b w:val="0"/>
          <w:color w:val="3A4A28"/>
          <w:sz w:val="20"/>
        </w:rPr>
        <w:t>Leverage amplification — leveraged exposure to MBS and high-yield bonds creates outsized downside during credit spread widening events or rising default cycles [1]</w:t>
      </w:r>
    </w:p>
    <w:p>
      <w:pPr>
        <w:spacing w:before="40" w:after="40"/>
        <w:ind w:left="283"/>
      </w:pPr>
      <w:r>
        <w:rPr>
          <w:rFonts w:ascii="Calibri" w:hAnsi="Calibri"/>
          <w:b/>
          <w:color w:val="4A6B25"/>
          <w:sz w:val="20"/>
        </w:rPr>
        <w:t xml:space="preserve">3. </w:t>
      </w:r>
      <w:r>
        <w:rPr>
          <w:rFonts w:ascii="Calibri" w:hAnsi="Calibri"/>
          <w:b w:val="0"/>
          <w:color w:val="3A4A28"/>
          <w:sz w:val="20"/>
        </w:rPr>
        <w:t>Interest rate reversal — if inflation reaccelerates and the Fed pauses or reverses rate cuts, PDI's bond portfolio faces mark-to-market losses and distribution pressure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Fixed income asset management faces moderate AI disruption risk. AI-powered trading algorithms and quantitative strategies are increasingly competing with traditional fundamental bond analysis, and robo-advisors could pressure fee structures over time [2]. However, PIMCO's expertise in complex structured credit (non-agency MBS, distressed debt) requires deep human judgment on legal structures, prepayment modeling, and credit assessment that AI cannot yet replicate. The closed-end fund structure provides additional protection — CEFs trade on exchanges with fixed share counts, so AUM is not directly threatened by outflows like open-end funds. AI Opportunity (1/1): PIMCO integrates quantitative tools and data analytics across its investment platform, and the broader asset management industry is adopting AI for trade execution, risk management, and credit analysis, providing indirect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PIMCO Dynamic Income Fund — Fund profile, NAV, distribution yield, and holdings data from pimco.com,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'PDI: An Out-Performance Candidate For 2026', fund analysis and PIMCO management assessment, 2026</w:t>
      </w:r>
    </w:p>
    <w:p>
      <w:pPr>
        <w:spacing w:before="20" w:after="20"/>
        <w:ind w:left="170"/>
      </w:pPr>
      <w:r>
        <w:rPr>
          <w:rFonts w:ascii="Calibri" w:hAnsi="Calibri"/>
          <w:b/>
          <w:color w:val="4A6B25"/>
          <w:sz w:val="15"/>
        </w:rPr>
        <w:t xml:space="preserve">3. </w:t>
      </w:r>
      <w:r>
        <w:rPr>
          <w:rFonts w:ascii="Calibri" w:hAnsi="Calibri"/>
          <w:b w:val="0"/>
          <w:color w:val="3A4A28"/>
          <w:sz w:val="17"/>
        </w:rPr>
        <w:t>PIMCO ESG and Sustainable Investing — Engagement approach and governance framework, pimco.com,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PDI (PIMCO Dynamic Income Fund), retrieved April 9,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