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PEB</w:t>
      </w:r>
      <w:r>
        <w:rPr>
          <w:rFonts w:ascii="Calibri" w:hAnsi="Calibri"/>
          <w:b/>
          <w:color w:val="1A2010"/>
          <w:sz w:val="40"/>
        </w:rPr>
        <w:t xml:space="preserve">  Pebblebrook Hotel Trust</w:t>
      </w:r>
    </w:p>
    <w:p>
      <w:pPr>
        <w:spacing w:after="120"/>
      </w:pPr>
      <w:r>
        <w:rPr>
          <w:rFonts w:ascii="Calibri" w:hAnsi="Calibri"/>
          <w:b/>
          <w:color w:val="6E8450"/>
          <w:sz w:val="18"/>
        </w:rPr>
        <w:t>GROWTH SLEEVE · 2026-04-16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Hotel &amp; Motel · NYSE · United States</w:t>
      </w:r>
    </w:p>
    <w:p>
      <w:pPr>
        <w:spacing w:after="80"/>
      </w:pPr>
      <w:r>
        <w:rPr>
          <w:rFonts w:ascii="Calibri" w:hAnsi="Calibri"/>
          <w:b w:val="0"/>
          <w:color w:val="3A4A28"/>
          <w:sz w:val="20"/>
        </w:rPr>
        <w:t>Pebblebrook Hotel Trust is a publicly traded REIT and the largest owner of urban and resort lifestyle hotels in the United States. The company owns 44 hotels totaling approximately 11,000 guest rooms across 13 urban and resort markets, with properties operated under brands including Margaritaville, LaPlaya, and independent boutique concepts through its Curator Hotel &amp; Resort Collection.</w:t>
      </w:r>
    </w:p>
    <w:p>
      <w:r>
        <w:rPr>
          <w:rFonts w:ascii="Calibri" w:hAnsi="Calibri"/>
          <w:b/>
          <w:color w:val="6E8450"/>
          <w:sz w:val="18"/>
        </w:rPr>
        <w:t>52 Employees · https://www.pebblebrookhotels.com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Pebblebrook's creation of the Curator Hotel &amp; Resort Collection — now encompassing 91 member properties and 121 preferred vendor agreements — represents a genuine business model innovation that creates a cooperative purchasing and technology platform for independent lifestyle hotels (2 points on track record) [1][3]. The Curator platform provides members early access to innovative technologies including AI-driven revenue management and robotics, demonstrating measurable AI deployment in hotel operations (1 point) [3]. Pebblebrook is the largest owner of urban and resort lifestyle hotels in the US with 44 properties across 13 markets, earning 1 point for market share leadership [1]. The $65-75M redevelopment investment pipeline for 2026 includes specific property transformations nearing completion (1 point) [1]. R&amp;D is not applicable for a REIT (0 points).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Pebblebrook's mission centers on owning 'a resilient portfolio of lifestyle hotels operating in an environmentally sustainable manner' while 'the sociocultural fabric of the communities is celebrated' — specific and thoughtful for a hotel REIT but not transformative, earning a mission floor of 2 [4]. The company has invested over $20 million since 2016 in energy conservation, GHG reduction, water efficiency, and waste reduction projects, with a formal ESG Committee since 2019, earning 1 point for community/environmental impact [4]. With only 52 employees at the trust level, employee retention data is not meaningful at scale (0 points). No evidence of insider buying (0 points).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Pebblebrook's financial profile is strained. D/E of 97.7% is elevated but manageable for a hotel REIT [2]. ROE of -2.3% and profit margin of -4.5% reflect ongoing GAAP net losses including $48.9M in impairment charges from hotel dispositions [1]. Forward P/E is negative (-26.3x) due to projected continued GAAP losses, though the company generates positive FFO ($1.58 adjusted FFO per share in 2025) [1]. Revenue grew 3.4% YoY, the sole bright spot. The token $0.01/quarter dividend (0.29% yield) provides no income value. Infrastructure is calculated mechanically from available metrics, with multiple unavailable or negative metrics excluded.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Pebblebrook demonstrates meaningful infinite-game qualities under CEO Jon Bortz's 15-year tenure — particularly the Curator platform innovation and major redevelopment investments during uncertain markets. However, the company's reliance on asset sales and impairment-driven losses reflect tension between long-term portfolio building and short-term capital management.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Pebblebrook's vision of creating 'lifestyle hotels celebrating the sociocultural fabric of communities' is distinctive and genuinely lived through 15 years of portfolio curation under CEO Jon Bortz. The Curator Hotel &amp; Resort Collection extends this purpose beyond owned properties to a broader ecosystem of independent lifestyle hotels (2 points) [1][4]. The cause is genuine but hasn't been tested through a transformative crisis that forced strategic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Jon Bortz's 15-year tenure provides exceptional leadership continuity for a public REIT, and the small 52-person trust-level team benefits from stability [3]. Glassdoor reviews note Pebblebrook is 'a high performance company that gets the best out of people,' though some cite monotonous tasks and long hours. The company ranks 2nd in overall culture on Comparably versus competitors (1 point)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Pebblebrook competes with Sunstone Hotel Investors, RLJ Lodging, and Apple Hospitality in the lifestyle hotel REIT space but does not demonstrate an infinite competitive mindset. Competitive language focuses on being 'the largest owner' of urban lifestyle hotels rather than learning from rivals' strengths (0 points)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creation of the Curator Hotel &amp; Resort Collection represents meaningful strategic evolution — extending Pebblebrook's expertise beyond owned assets into a cooperative platform serving 91 independent lifestyle hotels. This is an adjacent market expansion rather than a full business model reinvention, but it demonstrates willingness to evolve beyond traditional REIT operations (1 point) [1][3].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Pebblebrook's $65-75M annual redevelopment investment program during a challenging hospitality environment, combined with selective hotel dispositions to reshape the portfolio toward higher-quality lifestyle properties, demonstrates willingness to accept near-term impairment charges for long-term portfolio quality (1 point) [1]. The company absorbed $48.9M in impairment charges in 2025 from strategic dispositions.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Pebblebrook at $14 per share trades at a significant discount to estimated NAV for the largest US owner of urban and resort lifestyle hotels, with 2026 RevPAR growth guided at 2-4% and same-property EBITDA growth of 2.1-6% [1]. Adjusted FFO of $1.58/share in 2025 exceeded guidance, and the $65-75M redevelopment program nearing completion should unlock higher revenue and margins at transformed properties. AI-driven tech demand in urban markets like San Francisco provides a secular demand tailwind, while the Curator platform with 91 member properties creates a scalable revenue diversification opportunity [3].</w:t>
      </w:r>
    </w:p>
    <w:p>
      <w:pPr>
        <w:spacing w:after="120"/>
      </w:pPr>
      <w:r>
        <w:rPr>
          <w:rFonts w:ascii="Calibri" w:hAnsi="Calibri"/>
          <w:b w:val="0"/>
          <w:color w:val="3A4A28"/>
          <w:sz w:val="20"/>
        </w:rPr>
        <w:t>The bear case is centered on persistent GAAP losses and balance sheet pressure. PEB reported a $62.2M net loss in 2025 including $48.9M in impairment charges, ROE is -2.3%, and forward EPS remains negative [1][2]. D/E of 97.7% limits financial flexibility in a capital-intensive hotel business. The token $0.01/quarter dividend provides no income return for a REIT. Hotel REITs face cyclical risk from economic slowdowns — leisure and business travel demand can decline sharply in recessions. Rising labor costs and insurance premiums in urban markets compress property-level margins. The company's 52-person trust structure relies entirely on third-party hotel operators, limiting direct control over guest experience and property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major redevelopment program ($65-75M invested in 2026) expected to unlock higher RevPAR and EBITDA margins at transformed properties through premium repositioning [1]</w:t>
      </w:r>
    </w:p>
    <w:p>
      <w:pPr>
        <w:spacing w:before="40" w:after="40"/>
        <w:ind w:left="283"/>
      </w:pPr>
      <w:r>
        <w:rPr>
          <w:rFonts w:ascii="Calibri" w:hAnsi="Calibri"/>
          <w:b/>
          <w:color w:val="4A6B25"/>
          <w:sz w:val="20"/>
        </w:rPr>
        <w:t xml:space="preserve">2. </w:t>
      </w:r>
      <w:r>
        <w:rPr>
          <w:rFonts w:ascii="Calibri" w:hAnsi="Calibri"/>
          <w:b w:val="0"/>
          <w:color w:val="3A4A28"/>
          <w:sz w:val="20"/>
        </w:rPr>
        <w:t>AI and tech industry expansion driving transient and group demand in key urban markets (San Francisco, San Diego, Boston) where Pebblebrook concentrates its portfolio [1][3]</w:t>
      </w:r>
    </w:p>
    <w:p>
      <w:pPr>
        <w:spacing w:before="40" w:after="40"/>
        <w:ind w:left="283"/>
      </w:pPr>
      <w:r>
        <w:rPr>
          <w:rFonts w:ascii="Calibri" w:hAnsi="Calibri"/>
          <w:b/>
          <w:color w:val="4A6B25"/>
          <w:sz w:val="20"/>
        </w:rPr>
        <w:t xml:space="preserve">3. </w:t>
      </w:r>
      <w:r>
        <w:rPr>
          <w:rFonts w:ascii="Calibri" w:hAnsi="Calibri"/>
          <w:b w:val="0"/>
          <w:color w:val="3A4A28"/>
          <w:sz w:val="20"/>
        </w:rPr>
        <w:t>Curator Hotel &amp; Resort Collection growth to 91+ members creating a scalable platform for vendor agreements, technology access, and booking distribution that enhances the company's competitive moat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net losses ($62.2M in 2025) and negative ROE (-2.3%) could trigger investor capitulation and further stock price decline if FFO-based metrics also deteriorate [1]</w:t>
      </w:r>
    </w:p>
    <w:p>
      <w:pPr>
        <w:spacing w:before="40" w:after="40"/>
        <w:ind w:left="283"/>
      </w:pPr>
      <w:r>
        <w:rPr>
          <w:rFonts w:ascii="Calibri" w:hAnsi="Calibri"/>
          <w:b/>
          <w:color w:val="4A6B25"/>
          <w:sz w:val="20"/>
        </w:rPr>
        <w:t xml:space="preserve">2. </w:t>
      </w:r>
      <w:r>
        <w:rPr>
          <w:rFonts w:ascii="Calibri" w:hAnsi="Calibri"/>
          <w:b w:val="0"/>
          <w:color w:val="3A4A28"/>
          <w:sz w:val="20"/>
        </w:rPr>
        <w:t>Cyclical recession risk — urban hotel demand could decline sharply if the economy weakens, amplified by 97.7% D/E leverage that limits the company's ability to absorb revenue drops</w:t>
      </w:r>
    </w:p>
    <w:p>
      <w:pPr>
        <w:spacing w:before="40" w:after="40"/>
        <w:ind w:left="283"/>
      </w:pPr>
      <w:r>
        <w:rPr>
          <w:rFonts w:ascii="Calibri" w:hAnsi="Calibri"/>
          <w:b/>
          <w:color w:val="4A6B25"/>
          <w:sz w:val="20"/>
        </w:rPr>
        <w:t xml:space="preserve">3. </w:t>
      </w:r>
      <w:r>
        <w:rPr>
          <w:rFonts w:ascii="Calibri" w:hAnsi="Calibri"/>
          <w:b w:val="0"/>
          <w:color w:val="3A4A28"/>
          <w:sz w:val="20"/>
        </w:rPr>
        <w:t>Rising labor costs, insurance premiums, and property taxes in urban markets (San Francisco, Los Angeles, Boston) could compress property-level margins faster than revenue growth can offset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Hotel properties are physical-world assets that AI structurally cannot displace — guests must physically stay in rooms, dine in restaurants, and attend events on-site (8 points risk protection) [1]. AI actually serves as a demand tailwind for Pebblebrook: management cited AI-and tech-driven transient and group demand in markets like San Francisco as a growth catalyst for 2026 [1][3]. AI data center construction and tech company expansion drive corporate travel and group bookings to Pebblebrook's urban lifestyle hotels. The Curator platform deploys AI-driven revenue management and robotics across properties, but this is operational efficiency rather than a revenue product (0 points AI opportunity).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Pebblebrook Hotel Trust 2025 Results and 2026 Outlook Press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PEB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Pebblebrook Hotel Trust Q4 2025 Earnings Call Highlights and Curator Platform Details, March 2026</w:t>
      </w:r>
    </w:p>
    <w:p>
      <w:pPr>
        <w:spacing w:before="20" w:after="20"/>
        <w:ind w:left="170"/>
      </w:pPr>
      <w:r>
        <w:rPr>
          <w:rFonts w:ascii="Calibri" w:hAnsi="Calibri"/>
          <w:b/>
          <w:color w:val="4A6B25"/>
          <w:sz w:val="15"/>
        </w:rPr>
        <w:t xml:space="preserve">4. </w:t>
      </w:r>
      <w:r>
        <w:rPr>
          <w:rFonts w:ascii="Calibri" w:hAnsi="Calibri"/>
          <w:b w:val="0"/>
          <w:color w:val="3A4A28"/>
          <w:sz w:val="17"/>
        </w:rPr>
        <w:t>Pebblebrook Hotel Trust Corporate Sustainability Report and ESG Initiatives,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