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PELIR</w:t>
      </w:r>
      <w:r>
        <w:rPr>
          <w:rFonts w:ascii="Calibri" w:hAnsi="Calibri"/>
          <w:b/>
          <w:color w:val="1A2010"/>
          <w:sz w:val="40"/>
        </w:rPr>
        <w:t xml:space="preserve">  Pelican Acquisition Corporation (Rights)</w:t>
      </w:r>
    </w:p>
    <w:p>
      <w:pPr>
        <w:spacing w:after="120"/>
      </w:pPr>
      <w:r>
        <w:rPr>
          <w:rFonts w:ascii="Calibri" w:hAnsi="Calibri"/>
          <w:b/>
          <w:color w:val="6E8450"/>
          <w:sz w:val="18"/>
        </w:rPr>
        <w:t>GROWTH SLEEVE · 2026-05-03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 NASDAQ · United States</w:t>
      </w:r>
    </w:p>
    <w:p>
      <w:pPr>
        <w:spacing w:after="80"/>
      </w:pPr>
      <w:r>
        <w:rPr>
          <w:rFonts w:ascii="Calibri" w:hAnsi="Calibri"/>
          <w:b w:val="0"/>
          <w:color w:val="3A4A28"/>
          <w:sz w:val="20"/>
        </w:rPr>
        <w:t>PELIR represents the rights of Pelican Acquisition Corporation, a blank check company that completed its business combination with Greenland Exploration Limited and March GL Company in March 2026 to form Greenland Energy Company (NASDAQ: GLND). The combined entity focuses on Arctic oil exploration in Greenland's Jameson Land Basin, holding rights to over 2 million acres with estimated potential of 13 billion barrels of recoverable oil.</w:t>
      </w:r>
    </w:p>
    <w:p>
      <w:r>
        <w:rPr>
          <w:rFonts w:ascii="Calibri" w:hAnsi="Calibri"/>
          <w:b/>
          <w:color w:val="6E8450"/>
          <w:sz w:val="18"/>
        </w:rPr>
        <w:t>https://www.pelicanacq.com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PELIR is the rights component of a SPAC that completed its de-SPAC merger in March 2026 — there is no operating track record whatsoever [1]. Greenland Energy Company has zero revenue, zero production, and no operating history beyond the blank-check formation in 2024. AI Deployment (0/2): No AI deployment — the company is a pre-revenue Arctic oil exploration venture [1]. Market Share (0/2): No market share — Greenland Energy has not produced a single barrel of oil. The company holds exploration licenses in Greenland's Jameson Land Basin but has not begun drilling [2]. Pipeline (1/2): The company signed an agreement with Halliburton for integrated consulting and logistical management for two planned exploration wells in 2026 at the Jameson Land Basin, providing some pipeline visibility [2]. R&amp;D Intensity (0/1): No R&amp;D — this is an early-stage exploration company with no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Greenland Energy's stated purpose is 'enhancing global energy security through responsible development of Greenland's natural resources' — this is a generic energy company mission interchangeable with any oil exploration firm [2]. The framing around energy security is standard industry rhetoric. Community &amp; Charitable Impact (0/2): No evidence of community programs, charitable giving, or social impact — the company has no operations, no employees beyond executives, and no community presence [1]. Employee Retention (0/2): Not evaluable — the company has no meaningful employee base. The leadership team was assembled through the SPAC process with a former BP executive (Ashiq Merchant) as CFO and Joe Moglia (former TD Ameritrade CEO) as board advisor [2]. Insider Buying (0/2): No evidence of meaningful insider buying beyond SPAC sponsor equity stakes, which are granted rather than purchased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PELIR FAILS the liquidity floor test: average daily volume of 655,139 × $0.83 = $543,765, which is below the $1,000,000 minimum threshold [1]. Infrastructure score is automatically set to 0 regardless of other metrics. The underlying fundamentals are dire regardless: no revenue, no earnings, negative operating cash flow of -$912K, profit margin of 0%, no P/E ratio, and negligible cash of $77 on the balance sheet [1]. The company raised $70M through a public offering in April 2026 to fund exploration activities, but this capital will be consumed by drilling costs with zero near-term revenue visibility [2]. Greenland Energy is a pre-revenue speculative exploration venture with existential binary outcome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Greenland Energy / PELIR is a quintessential finite game player — a SPAC-formed exploration company pursuing a single high-risk, high-reward bet on Arctic oil production. There is no enduring purpose, no organizational culture, no leadership continuity, and no strategic flexibility beyond the binary outcome of finding commercially viable oil in Greenland's Jameson Land Basin.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(0 pts). The company exists to monetize Arctic oil reserves through a SPAC vehicle — there is no vision of a better future beyond commodity extraction [2]. The 'energy security' framing is post-hoc rationalization for a speculative drilling venture. The SPAC structure itself is a finite game mechanism designed to generate returns for sponsors through the de-SPAC process.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 pts). The company has no meaningful team — leadership was assembled through the SPAC process rather than built through shared purpose [2]. The executive team includes a SPAC sponsor (Larry Swets), a hired CEO (Robert Price), a recently appointed CFO (Ashiq Merchant from BP), and a board advisor (Joe Moglia). These are transactional relationships, not a team forged by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pts). Greenland Energy does not acknowledge or learn from rivals — it operates in isolation pursuing a single unproven basin [2]. There is no competitive learning, no benchmarking against peer explorers, and no strategic adaptation based on rival performance.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 pts). The company's entire existence is tied to one geographic bet — the Jameson Land Basin in Greenland [2]. If the exploration wells fail to find commercially viable oil, there is no pivot strategy, no alternative business model, and no strategic flexibility. The $70M raised in April 2026 will be consumed by drilling costs with no fallback.</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 (0 pts). Pursuing Arctic oil exploration through a SPAC with other people's money is risk transfer, not courage [2]. The SPAC sponsors face limited downside while public shareholders bear binary outcome risk. No examples of leadership sacrificing personal interests for the company's long-term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PELIR represents rights in a newly formed Arctic oil exploration company targeting Greenland's Jameson Land Basin, which has estimated potential of 13 billion barrels of recoverable oil across 2 million+ acres [2]. The company signed a Halliburton services agreement for two planned 2026 exploration wells and raised $70M to fund operations. If exploration succeeds, the upside is transformative given the scale of the resource estimate. The appointment of former BP executive Ashiq Merchant as CFO and former TD Ameritrade CEO Joe Moglia as board advisor adds credibility to the executive team [2].</w:t>
      </w:r>
    </w:p>
    <w:p>
      <w:pPr>
        <w:spacing w:after="120"/>
      </w:pPr>
      <w:r>
        <w:rPr>
          <w:rFonts w:ascii="Calibri" w:hAnsi="Calibri"/>
          <w:b w:val="0"/>
          <w:color w:val="3A4A28"/>
          <w:sz w:val="20"/>
        </w:rPr>
        <w:t>The bear case is overwhelming. PELIR is a sub-$1 rights ticker for a pre-revenue SPAC-formed company with zero operating history, zero production, and zero revenue [1]. The $0.83 price and $544K daily dollar volume fail the IOWN liquidity floor, making the security untradeable for any institutional strategy. Arctic oil exploration carries extreme geological, environmental, regulatory, and geopolitical risk — Greenland imposed a drilling moratorium in 2021 (licenses are grandfathered but future regulatory changes could invalidate them) [2]. Environmental groups actively oppose Arctic drilling, and Environmental Impact Assessment approval is required from Greenlandic authorities. The $70M raised covers only initial exploration costs; commercial development would require billions in capital. The binary exploration outcome, SPAC sponsor dilution, and sub-penny rights structure make PELIR suitable only for pure speculation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Two Halliburton-managed exploration wells planned for 2026 summer drilling season at Jameson Land Basin could prove up multi-billion-barrel resource potential [2]</w:t>
      </w:r>
    </w:p>
    <w:p>
      <w:pPr>
        <w:spacing w:before="40" w:after="40"/>
        <w:ind w:left="283"/>
      </w:pPr>
      <w:r>
        <w:rPr>
          <w:rFonts w:ascii="Calibri" w:hAnsi="Calibri"/>
          <w:b/>
          <w:color w:val="4A6B25"/>
          <w:sz w:val="20"/>
        </w:rPr>
        <w:t xml:space="preserve">2. </w:t>
      </w:r>
      <w:r>
        <w:rPr>
          <w:rFonts w:ascii="Calibri" w:hAnsi="Calibri"/>
          <w:b w:val="0"/>
          <w:color w:val="3A4A28"/>
          <w:sz w:val="20"/>
        </w:rPr>
        <w:t>Global energy security concerns and Arctic geopolitical interest could attract major oil company partnerships or farm-in agreements for the 2M+ acre position [2]</w:t>
      </w:r>
    </w:p>
    <w:p>
      <w:pPr>
        <w:spacing w:before="40" w:after="40"/>
        <w:ind w:left="283"/>
      </w:pPr>
      <w:r>
        <w:rPr>
          <w:rFonts w:ascii="Calibri" w:hAnsi="Calibri"/>
          <w:b/>
          <w:color w:val="4A6B25"/>
          <w:sz w:val="20"/>
        </w:rPr>
        <w:t xml:space="preserve">3. </w:t>
      </w:r>
      <w:r>
        <w:rPr>
          <w:rFonts w:ascii="Calibri" w:hAnsi="Calibri"/>
          <w:b w:val="0"/>
          <w:color w:val="3A4A28"/>
          <w:sz w:val="20"/>
        </w:rPr>
        <w:t>Successful well results would fundamentally re-rate the company from speculative explorer to commercial development stage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Exploration failure — if 2026 wells find no commercially viable hydrocarbons, the $70M in raised capital is consumed with no recovery path, likely resulting in total loss for rights holders [2]</w:t>
      </w:r>
    </w:p>
    <w:p>
      <w:pPr>
        <w:spacing w:before="40" w:after="40"/>
        <w:ind w:left="283"/>
      </w:pPr>
      <w:r>
        <w:rPr>
          <w:rFonts w:ascii="Calibri" w:hAnsi="Calibri"/>
          <w:b/>
          <w:color w:val="4A6B25"/>
          <w:sz w:val="20"/>
        </w:rPr>
        <w:t xml:space="preserve">2. </w:t>
      </w:r>
      <w:r>
        <w:rPr>
          <w:rFonts w:ascii="Calibri" w:hAnsi="Calibri"/>
          <w:b w:val="0"/>
          <w:color w:val="3A4A28"/>
          <w:sz w:val="20"/>
        </w:rPr>
        <w:t>Greenland regulatory and environmental risk — the 2021 drilling moratorium (grandfathered licenses) could be expanded, and Environmental Impact Assessment approval is not guaranteed for Arctic operations [2]</w:t>
      </w:r>
    </w:p>
    <w:p>
      <w:pPr>
        <w:spacing w:before="40" w:after="40"/>
        <w:ind w:left="283"/>
      </w:pPr>
      <w:r>
        <w:rPr>
          <w:rFonts w:ascii="Calibri" w:hAnsi="Calibri"/>
          <w:b/>
          <w:color w:val="4A6B25"/>
          <w:sz w:val="20"/>
        </w:rPr>
        <w:t xml:space="preserve">3. </w:t>
      </w:r>
      <w:r>
        <w:rPr>
          <w:rFonts w:ascii="Calibri" w:hAnsi="Calibri"/>
          <w:b w:val="0"/>
          <w:color w:val="3A4A28"/>
          <w:sz w:val="20"/>
        </w:rPr>
        <w:t>Extreme illiquidity — daily dollar volume of $544K fails IOWN's $1M liquidity floor, making position entry/exit impractical and exposing holders to severe price impact on any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Arctic oil exploration and production is structurally immune to AI disruption — the business involves physical-world geological surveying, drilling operations, and hydrocarbon extraction in one of the most remote and challenging environments on Earth [2]. AI cannot drill wells, extract oil, or navigate Arctic logistics. If anything, AI may modestly enhance seismic data interpretation and drilling optimization, but the core operations require massive physical infrastructure that AI cannot displace. The Jameson Land Basin licenses represent physical assets with legal property rights unaffected by software disruption [2]. AI Opportunity (0/1): No AI-related revenue — Greenland Energy is a pre-production oil exploration company with no technology products or AI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PELIR (Pelican Acquisition Corporation Rights), retrieved May 3, 2026</w:t>
      </w:r>
    </w:p>
    <w:p>
      <w:pPr>
        <w:spacing w:before="20" w:after="20"/>
        <w:ind w:left="170"/>
      </w:pPr>
      <w:r>
        <w:rPr>
          <w:rFonts w:ascii="Calibri" w:hAnsi="Calibri"/>
          <w:b/>
          <w:color w:val="4A6B25"/>
          <w:sz w:val="15"/>
        </w:rPr>
        <w:t xml:space="preserve">2. </w:t>
      </w:r>
      <w:r>
        <w:rPr>
          <w:rFonts w:ascii="Calibri" w:hAnsi="Calibri"/>
          <w:b w:val="0"/>
          <w:color w:val="3A4A28"/>
          <w:sz w:val="17"/>
        </w:rPr>
        <w:t>GlobeNewsWire — Pelican Acquisition Corporation / Greenland Energy Company merger completion, Halliburton agreement, and $70M public offering announcements, March-April 2026</w:t>
      </w:r>
    </w:p>
    <w:p>
      <w:pPr>
        <w:spacing w:before="20" w:after="20"/>
        <w:ind w:left="170"/>
      </w:pPr>
      <w:r>
        <w:rPr>
          <w:rFonts w:ascii="Calibri" w:hAnsi="Calibri"/>
          <w:b/>
          <w:color w:val="4A6B25"/>
          <w:sz w:val="15"/>
        </w:rPr>
        <w:t xml:space="preserve">3. </w:t>
      </w:r>
      <w:r>
        <w:rPr>
          <w:rFonts w:ascii="Calibri" w:hAnsi="Calibri"/>
          <w:b w:val="0"/>
          <w:color w:val="3A4A28"/>
          <w:sz w:val="17"/>
        </w:rPr>
        <w:t>StockTitan — PELIR SEC filings, PELI annual report, and Greenland Energy arctic exploration strategy updates,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