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PENN</w:t>
      </w:r>
      <w:r>
        <w:rPr>
          <w:rFonts w:ascii="Calibri" w:hAnsi="Calibri"/>
          <w:b/>
          <w:color w:val="1A2010"/>
          <w:sz w:val="40"/>
        </w:rPr>
        <w:t xml:space="preserve">  PENN Entertainment, Inc.</w:t>
      </w:r>
    </w:p>
    <w:p>
      <w:pPr>
        <w:spacing w:after="120"/>
      </w:pPr>
      <w:r>
        <w:rPr>
          <w:rFonts w:ascii="Calibri" w:hAnsi="Calibri"/>
          <w:b/>
          <w:color w:val="6E8450"/>
          <w:sz w:val="18"/>
        </w:rPr>
        <w:t>GROWTH SLEEVE · 2026-04-01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United States</w:t>
      </w:r>
    </w:p>
    <w:p>
      <w:pPr>
        <w:spacing w:after="80"/>
      </w:pPr>
      <w:r>
        <w:rPr>
          <w:rFonts w:ascii="Calibri" w:hAnsi="Calibri"/>
          <w:b w:val="0"/>
          <w:color w:val="3A4A28"/>
          <w:sz w:val="20"/>
        </w:rPr>
        <w:t>PENN Entertainment operates a diversified portfolio of 43 casinos, racetracks, and online sports betting/iCasino offerings across 28 North American jurisdictions. The company runs theScore Bet sportsbook, theScore Casino, Hollywood Casino iCasino, and PENN Play loyalty program, serving both retail and interactive gaming customers.</w:t>
      </w:r>
    </w:p>
    <w:p>
      <w:r>
        <w:rPr>
          <w:rFonts w:ascii="Calibri" w:hAnsi="Calibri"/>
          <w:b/>
          <w:color w:val="6E8450"/>
          <w:sz w:val="18"/>
        </w:rPr>
        <w:t>23,441 Employees · https://www.pennentertainment.com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PENN's major strategic pivot — the $2B ESPN Bet partnership launched in November 2023 — was terminated in Q3 2025 after failing to achieve meaningful market share against DraftKings and FanDuel, forcing a rebrand to theScore Bet [1]. The Aurora Hollywood Casino and Columbus hotel tower openings in H1 2026 represent incremental retail expansion, not transformation [1]. AI Deployment (0/2): No evidence of AI-powered products shipping to customers or quantified AI-driven cost savings; the company's technology investments focus on omnichannel integration and cashless gaming rather than AI innovation [2]. Market Share (1/2): PENN operates the largest regional casino footprint in North America with 43 properties, but its interactive segment holds low-single-digit market share in online sports betting, far behind DraftKings (~35%) and FanDuel (~40%) [1][2]. Pipeline (1/2): Four retail growth projects are ramping with two openings expected by end of Q2 2026; interactive segment targeting breakeven in 2026 after years of losses, but no next-generation product differentiation announced [1]. R&amp;D Intensity (1/1): Hired Aaron LaBerge (former Disney/ESPN CTO) as CTO in July 2024, signaling technology investment commitment; spending on theScore platform development is above typical casino operator levels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PENN's stated purpose centers on 'reimagining and modernizing the entertainment experience' — functional but generic and interchangeable with any entertainment company [3]. No distinctive Just Cause or deeper purpose beyond profit and growth articulated by leadership. Community Impact (2/2): PENN donated more than $8M to local charities in 2023, generated $17M in economic development grants, and employees volunteered over 9,500 hours in underserved communities [3]. The Diverse Vendor Incubator Program exceeded goals with $108M in diverse vendor spend [3]. Employee Retention (0/2): Glassdoor rating of 3.2/5 with only 43% of employees recommending the company; reviews cite toxic VP-level culture, intimidation, favoritism, poor communication, and low pay — significant red flags for employee retention [2]. Insider Buying (1/2): CEO Jay Snowden's $26.68M total compensation is heavily equity-based (93.3% stock/options), demonstrating alignment, though this is compensation-driven rather than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PENN's balance sheet is heavily leveraged with D/E of 616.8% reflecting $11.3B in total debt against a $2B market cap [4]. ROE is deeply negative at -36.1% due to net losses, and profit margin stands at -12.1% [4]. The bright spots are a low forward P/E of 8.7x (scoring full marks as market prices in recovery), modest 8.2% YoY revenue growth to $6.96B, and the interactive segment approaching breakeven [1]. Revenue 5yr CAGR of approximately 2.8% reflects slow organic growth outside COVID recovery [4]. Free cash flow was negative at -$294M in the trailing period, though operating cash flow of $508M provides some cushion [4]. Management guides to 20% YoY adjusted EBITDAR growth in 2026 and expects to reduce leverage by 1-2 turns [1]. Liquidity floor cleared: $67.9M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PENN Entertainment exhibits predominantly finite game behavior — the ESPN Bet partnership was a short-term market share grab that failed and was abandoned within two years, the rebrand to theScore Bet is reactive rather than visionary, and leadership language consistently emphasizes 'winning' market share over building enduring capability. The 43-property retail portfolio provides stability, but strategic decisions are driven by quarterly EBITDAR targets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PENN's purpose — 'reimagining the entertainment experience' — is shallow and interchangeable with any entertainment company [3]. Strategic decisions like the ESPN Bet partnership and its rapid termination reflect a company chasing market trends rather than pursuing an enduring vision. The $1B retail capital program is driven by earnings growth targets, not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Glassdoor's 3.2/5 rating with only 43% employee recommendation rate reveals a low-trust environment [2]. Employees describe VP-level leadership as 'toxic culture built on intimidation and favoritism,' with poor communication and employee input being 'ignored or penalized' [2]. High turnover driven by low pay and micromanagement suggests employees protect themselves rather than advance the company's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PENN's competitive language is predominantly finite — the ESPN Bet partnership was explicitly positioned to 'beat' DraftKings and FanDuel for market share, and its failure reflects a company focused on winning rather than improving [2]. Management frames theScore Bet rebrand in terms of cost efficiency and cross-selling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PENN has demonstrated some strategic flexibility — rebranding from Penn National Gaming to PENN Entertainment in 2022, entering online sports betting through the $2B theScore acquisition, and pivoting away from the failed ESPN Bet deal when it wasn't working [1]. These moves show willingness to adapt, though they were incremental and reactive rather than transformative reinventions driven by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The ESPN Bet termination, while arguably necessary, represents a failure of conviction — leadership invested $2B and abandoned the strategy within two years rather than building through the difficulty [1]. Cost-cutting of $10M in corporate overhead and focus on deleveraging are defensive moves, not courageous long-term bets. CEO compensation of $26.68M against a backdrop of employee complaints about low pay raises questions about leadership sacrifice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PENN Entertainment offers deep value at 8.7x forward earnings with a clear path to profitability inflection — interactive segment losses of $268M in 2025 are guided to breakeven in 2026, representing a $268M year-over-year EBITDA swing [1]. Retail segment guidance of $5.7-5.85B revenue with $1.86-1.98B adjusted EBITDAR provides stable cash flow, and four growth projects including the Aurora Hollywood Casino opening in H1 2026 add incremental revenue [1]. Management targets 20% YoY EBITDAR growth and 1-2 turns of leverage reduction in 2026, which could unlock significant equity value from a $2B market cap [1]. The 43-property regional casino portfolio generates steady foot traffic with limited competition due to gaming license barriers.</w:t>
      </w:r>
    </w:p>
    <w:p>
      <w:pPr>
        <w:spacing w:after="120"/>
      </w:pPr>
      <w:r>
        <w:rPr>
          <w:rFonts w:ascii="Calibri" w:hAnsi="Calibri"/>
          <w:b w:val="0"/>
          <w:color w:val="3A4A28"/>
          <w:sz w:val="20"/>
        </w:rPr>
        <w:t>The bear case is substantial. PENN carries $11.3B in debt against $687M cash and a $2B market cap, making it highly leveraged with D/E of 617% [4]. Net losses persist with -$5.83 trailing EPS and -12.1% profit margin, and free cash flow was negative $294M [4]. The failed $2B ESPN Bet experiment destroyed significant shareholder value — the stock trades at $15 versus a 52-week high of $20.61 and is down roughly 75% from 2021 highs [4]. The interactive segment faces an uphill battle against DraftKings and FanDuel with low-single-digit market share and no clear differentiation [2]. Glassdoor ratings of 3.2/5 with 43% recommendation rate signal cultural problems that may impede execution [2]. Regional casino secular headwinds from aging demographics and increasing competition from tribal casinos and online alternatives add long-term structural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Interactive segment breakeven in 2026 — $268M YoY EBITDA improvement from theScore Bet cost rationalization and cross-selling with retail loyalty base [1]</w:t>
      </w:r>
    </w:p>
    <w:p>
      <w:pPr>
        <w:spacing w:before="40" w:after="40"/>
        <w:ind w:left="283"/>
      </w:pPr>
      <w:r>
        <w:rPr>
          <w:rFonts w:ascii="Calibri" w:hAnsi="Calibri"/>
          <w:b/>
          <w:color w:val="4A6B25"/>
          <w:sz w:val="20"/>
        </w:rPr>
        <w:t xml:space="preserve">2. </w:t>
      </w:r>
      <w:r>
        <w:rPr>
          <w:rFonts w:ascii="Calibri" w:hAnsi="Calibri"/>
          <w:b w:val="0"/>
          <w:color w:val="3A4A28"/>
          <w:sz w:val="20"/>
        </w:rPr>
        <w:t>Aurora Hollywood Casino and Columbus hotel tower openings in H1 2026, adding incremental retail revenue and EBITDAR to the portfolio [1]</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of 1-2 turns in 2026 through free cash flow generation and EBITDAR growth, potentially unlocking equity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Excessive leverage at 616.8% D/E with $11.3B debt — rising interest rates or execution shortfalls could create liquidity pressure and limit strategic flexibility [4]</w:t>
      </w:r>
    </w:p>
    <w:p>
      <w:pPr>
        <w:spacing w:before="40" w:after="40"/>
        <w:ind w:left="283"/>
      </w:pPr>
      <w:r>
        <w:rPr>
          <w:rFonts w:ascii="Calibri" w:hAnsi="Calibri"/>
          <w:b/>
          <w:color w:val="4A6B25"/>
          <w:sz w:val="20"/>
        </w:rPr>
        <w:t xml:space="preserve">2. </w:t>
      </w:r>
      <w:r>
        <w:rPr>
          <w:rFonts w:ascii="Calibri" w:hAnsi="Calibri"/>
          <w:b w:val="0"/>
          <w:color w:val="3A4A28"/>
          <w:sz w:val="20"/>
        </w:rPr>
        <w:t>Interactive segment market share risk — theScore Bet competes against DraftKings and FanDuel with massive marketing budgets and established user bases, and prior ESPN Bet failure demonstrates execution challenges [1][2]</w:t>
      </w:r>
    </w:p>
    <w:p>
      <w:pPr>
        <w:spacing w:before="40" w:after="40"/>
        <w:ind w:left="283"/>
      </w:pPr>
      <w:r>
        <w:rPr>
          <w:rFonts w:ascii="Calibri" w:hAnsi="Calibri"/>
          <w:b/>
          <w:color w:val="4A6B25"/>
          <w:sz w:val="20"/>
        </w:rPr>
        <w:t xml:space="preserve">3. </w:t>
      </w:r>
      <w:r>
        <w:rPr>
          <w:rFonts w:ascii="Calibri" w:hAnsi="Calibri"/>
          <w:b w:val="0"/>
          <w:color w:val="3A4A28"/>
          <w:sz w:val="20"/>
        </w:rPr>
        <w:t>Employee culture deterioration — 3.2/5 Glassdoor rating with reports of toxic management and low pay may hinder talent retention needed for digital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PENN's core business — operating physical casinos, racetracks, hotels, and food/beverage venues — is inherently protected from AI disruption because it relies on real-world experiences, gaming licenses, and regulated physical infrastructure that AI cannot replicate [2]. The retail segment generating $5.7-5.85B in 2026 guided revenue is structurally immune to AI substitution. However, the interactive/online segment (sports betting, iCasino) faces competitive pressure from AI-enhanced personalization and engagement tools deployed by better-capitalized competitors like DraftKings and FanDuel [2]. Prediction markets and AI-driven betting platforms represent an emerging disruption vector for the online sportsbook business. AI Opportunity (0/1): No quantifiable AI-driven revenue; PENN has not deployed AI products or reported AI-specific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 Entertainment Q4 2025 Earnings Release — $1.8B quarterly revenue, $225.8M adjusted EBITDA,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PENN Entertainment leadership page, Glassdoor reviews (3.2/5, 572 reviews), and ainvest.com sector disruption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PENN Entertainment Corporate Responsibility Report 2023 — $8M charitable donations, $108M diverse vendor spend, ESG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PENN (PENN Entertainment),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