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PEN</w:t>
      </w:r>
      <w:r>
        <w:rPr>
          <w:rFonts w:ascii="Calibri" w:hAnsi="Calibri"/>
          <w:b/>
          <w:color w:val="1A2010"/>
          <w:sz w:val="40"/>
        </w:rPr>
        <w:t xml:space="preserve">  Penumbra,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Penumbra, Inc. designs, develops, manufactures, and markets medical devices focused on thrombectomy and embolization technologies. The company's products include computer-assisted vacuum thrombectomy (CAVT) systems, peripheral and neurovascular thrombectomy devices, embolization coiling systems, and neurosurgical tools. Founded in 2004 and headquartered in Alameda, California. Currently subject to a proposed $14.9B acquisition by Boston Scientific Corporation.</w:t>
      </w:r>
    </w:p>
    <w:p>
      <w:r>
        <w:rPr>
          <w:rFonts w:ascii="Calibri" w:hAnsi="Calibri"/>
          <w:b/>
          <w:color w:val="6E8450"/>
          <w:sz w:val="18"/>
        </w:rPr>
        <w:t>4,700 Employees · https://www.penumbrainc.com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 is a category creator in computer-assisted vacuum thrombectomy (CAVT), combining mechanical aspiration with AI-enabled visualization and CAD/CAM design tools to advance stroke and pulmonary embolism treatment [1]. The STORM-PE clinical trial demonstrated strong functional outcomes that shifted the investment narrative, validating the company's PE treatment platform [3]. U.S. Thrombectomy revenue grew 19.3% in 2025 to $771.5M, driven by the Lightning Flash and Lightning Bolt 7 systems that represent genuine clinical innovation [1]. R&amp;D intensity is high for a $1.4B revenue company, and Boston Scientific's $14.9B acquisition offer validates the technology platform's strategic value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Adam Elsesser has led Penumbra for 21 years since co-founding, driving a mission centered on saving lives through faster, safer clot removal — a genuinely life-or-death purpose that differentiates from commodity medical device companies [2]. The company's Comparably 'A+' executive team rating reflects leadership quality. However, Glassdoor reviews at 2.9/5.0 reveal concerns about micromanagement culture, nepotism (co-founder's brother in another department), and favoritism that stifle creativity and erode trust [3]. The gap between executive vision and frontline experience tempers the inspiration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 delivers exceptional growth fundamentals: 22.1% revenue growth YoY, 20.1% 5-year revenue CAGR, and a PEG ratio of 0.73 suggesting the stock is undervalued relative to its growth rate [1]. D/E of 15.4% is remarkably low, providing substantial financial flexibility and balance sheet safety. Operating income exploded from $9.3M in 2024 to $189.2M in 2025, demonstrating powerful operating leverage as the business scales [1]. The forward P/E of 50.9x is elevated but partially justified by 38.3% earnings growth. Profit margin of 12.7% has significant expansion runway as the company achieves operating scale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Penumbra demonstrates strong infinite-game characteristics through its life-saving mission and founder-led innovation culture, but the proposed Boston Scientific acquisition may subordinate the company's independent vision to a larger corporate strategy. Internal culture challenges (Glassdoor 2.9) suggest the organizational foundation needs strengthening to sustain long-term impact.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Penumbra's just cause is viscerally clear: saving lives by removing blood clots faster and more safely from stroke and pulmonary embolism patients [1]. This is not a manufactured corporate mission — every product improvement directly translates to saved lives and reduced disability. The STORM-PE trial results demonstrating superior functional outcomes validate that the mission drives real clinical impact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2.9/5.0 rating reveals significant cultural challenges: employees describe micromanagement that 'stifled creativity, eroded trust, and hindered team collaboration,' with concerns about nepotism and favoritism in leadership [3]. While some praise the company's growth trajectory and leadership vision, the operational culture appears to prioritize founder control over distributed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 actively competes against and learns from Stryker (neurovascular), Medtronic, and Johnson &amp; Johnson in the thrombectomy space, using competitive pressure to drive faster innovation cycles [1]. The Boston Scientific acquisition at a $14.9B valuation validates that rivals view Penumbra's technology as strategically essential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 successfully expanded from its neurovascular origins into peripheral thrombectomy and pulmonary embolism treatment, demonstrating willingness to extend its platform into new clinical areas [1]. However, the decision to accept Boston Scientific's acquisition offer raises questions about whether the company is choosing financial exit over continued independent innovation.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Penumbra showed courage in pioneering CAVT technology against established players and investing heavily in clinical evidence (STORM-PE trial) to shift treatment paradigms [1]. CEO Elsesser's 21-year tenure demonstrates personal commitment. However, the acquisition agreement suggests limits to the leadership's willingness to continue bearing the risk of independent execution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Penumbra is a rare category-creating medical device company delivering 22.1% revenue growth, 20.1% 5-year CAGR, and dramatic operating leverage — operating income surged from $9.3M to $189.2M in a single year [1]. The PEG ratio of 0.73 suggests the market is undervaluing growth, and the nearly debt-free balance sheet (D/E 15.4%) provides exceptional financial safety. Boston Scientific's proposed $14.9B acquisition validates the technology platform's strategic value and provides a likely price floor for investors [3]. The CAVT platform's AI-enhanced capabilities and strong STORM-PE clinical data position Penumbra at the intersection of medical device innovation and digital health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acquisition-related: the Boston Scientific deal may not close due to regulatory hurdles or antitrust review, which could cause significant stock price volatility [3]. At 71.5x trailing earnings, the standalone valuation assumes sustained 20%+ growth that could be disrupted by competitive responses from Stryker or Medtronic, reimbursement changes, or clinical setbacks. Glassdoor's 2.9/5.0 rating and concerns about micromanagement suggest cultural challenges that could impact talent retention and R&amp;D velocity [3]. The company has not provided 2026 financial guidance due to the pending acquisition, creating near-term visibility gaps. Profit margin of 12.7%, while improving rapidly, still lags med-tech peers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Boston Scientific $14.9B acquisition closing would provide immediate shareholder value realization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STORM-PE clinical trial data expanding the addressable market for PE treatment with favorable reimbursement implications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Operating leverage driving margin expansion from 12.7% toward medtech peer averages of 20%+ as revenue scales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Boston Scientific acquisition regulatory review could delay or block the deal, causing significant price volatility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 valuation (71.5x trailing P/E) leaves no margin of safety on standalone basis if growth decelerates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challenges (Glassdoor 2.9, micromanagement, nepotism concerns) could impair talent retention and innovation velocity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core enabler for Penumbra's business model — the company's flagship CAVT (computer-assisted vacuum thrombectomy) platform integrates AI-enhanced imaging and procedural guidance to improve clot removal outcomes [1]. CEO Elsesser's vision explicitly prioritizes AI, CAD/CAM, and diagnostic tool integration as competitive differentiators [3]. The medical device sector benefits from high regulatory barriers (FDA clearance) that protect against AI-only disruptors, and Penumbra's physical device expertise creates a deep moat. The primary AI opportunity is expanding AI-guided procedural planning to reduce treatment times and improve outcomes, strengthening the clinical value proposition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Penumbra Q4 and Full Year 2025 Earnings Release, penumbrainc.com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PEN key statistics and financial data,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Boston Scientific $14.9B acquisition announcement and STORM-PE clinical trial results,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