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PEP</w:t>
      </w:r>
      <w:r>
        <w:rPr>
          <w:rFonts w:ascii="Calibri" w:hAnsi="Calibri"/>
          <w:b/>
          <w:color w:val="1A2010"/>
          <w:sz w:val="40"/>
        </w:rPr>
        <w:t xml:space="preserve">  PepsiCo, Inc.</w:t>
      </w:r>
    </w:p>
    <w:p>
      <w:pPr>
        <w:spacing w:after="120"/>
      </w:pPr>
      <w:r>
        <w:rPr>
          <w:rFonts w:ascii="Calibri" w:hAnsi="Calibri"/>
          <w:b/>
          <w:color w:val="6E8450"/>
          <w:sz w:val="18"/>
        </w:rPr>
        <w:t>DIVIDEND SLEEVE · 2026-03-28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NASDAQ · United States</w:t>
      </w:r>
    </w:p>
    <w:p>
      <w:pPr>
        <w:spacing w:after="80"/>
      </w:pPr>
      <w:r>
        <w:rPr>
          <w:rFonts w:ascii="Calibri" w:hAnsi="Calibri"/>
          <w:b w:val="0"/>
          <w:color w:val="3A4A28"/>
          <w:sz w:val="20"/>
        </w:rPr>
        <w:t>PepsiCo is a global food and beverage company with $94 billion in annual revenue across two segments: Convenient Foods (58%, including Frito-Lay, Quaker) and Beverages (42%, including Pepsi, Gatorade, Tropicana). The company operates in 200+ countries with iconic brands including Lay's, Doritos, Cheetos, Mountain Dew, and Aquafina.</w:t>
      </w:r>
    </w:p>
    <w:p>
      <w:r>
        <w:rPr>
          <w:rFonts w:ascii="Calibri" w:hAnsi="Calibri"/>
          <w:b/>
          <w:color w:val="6E8450"/>
          <w:sz w:val="18"/>
        </w:rPr>
        <w:t>315,000 Employees · https://www.pepsico.com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PepsiCo's recent innovations are incremental — reformulating Lay's and Tostitos to remove artificial ingredients, cutting 20% of US SKUs for portfolio simplification, and expanding into healthier snacking [1]. These are optimization moves, not transformative pivots or new category creation. AI Deployment (2/2): PepsiCo made one of the boldest AI commitments in CPG, declaring it will be 'agentic AI-first' across every business function by end of 2026 via Salesforce Agentforce 360 [2]. The company has deployed AI-driven inventory management, robotics in production lines, and built an internal army of data scientists and ML engineers, with automation projected to reduce manual labor dependencies by 20% by 2027 [2]. Market Share (1/2): PepsiCo holds the #1 position in global salty snacks (Frito-Lay) and strong #2 in beverages, but Frito-Lay North America volume has been under pressure and the company is in share defense mode rather than gaining [1]. Pipeline (0/2): No specific next-generation products with named launch dates and revenue visibility; the 2026 strategy focuses on affordability, SKU rationalization, and cost efficiency rather than breakthrough innovation [1]. R&amp;D Intensity (1/1): PepsiCo invests meaningfully in product reformulation, sustainability R&amp;D, and AI capabilities relative to the CPG industry, though R&amp;D as a percentage of revenue is modest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PepsiCo's pep+ (PepsiCo Positive) sustainability strategy is a thoughtful, specific framework connecting business performance to positive agriculture, value chain, and product outcomes [3]. Building on Indra Nooyi's transformative 'Performance with Purpose' legacy, pep+ demonstrates genuine intentionality about the company's role in food systems, though it has been diluted by recent target downgrades. Community Impact (2/2): PepsiCo spread regenerative agriculture practices across 3.5 million acres (targeting 10M by 2030), sourced 89% of global electricity from renewables, and surpassed 2025 sugar and sodium reduction targets a year early [3]. These are substantive, measurable programs beyond generic corporate philanthropy. Employee Retention (0/2): No specific retention data or tenure statistics found. Insider Buying (1/2): CEO Laguarta maintains significant equity exposure and the company returned substantial capital to shareholders, but no evidence of specific open-market insider purchases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PepsiCo's financial profile combines defensive stability with concerning leverage. FY2025 revenue of $94B grew 5.6% with $15B in core operating profit [1]. Forward P/E of 16.7x is attractive for a defensive staple. ROE of 42.8% is strong though amplified by 258% D/E, reflecting aggressive leverage for a consumer staples company. Profit margin of 8.8% is below the 20% target, typical for CPG. The dividend profile is exceptional: 54 consecutive years of increases (Dividend King), 3.72% yield, and 7.3% five-year dividend growth CAGR beating inflation [4]. However, the 93.7% payout ratio is dangerously high, leaving almost no cushion for earnings volatility. Free cash flow conversion of 80%+ and a new $10B buyback program provide capital return visibility [1]. Liquidity floor cleared: $1.21B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PepsiCo carries meaningful infinite game DNA from the Nooyi era's 'Performance with Purpose' transformation, but recent leadership decisions — downgrading sustainability targets, cutting 20% of SKUs, and pivoting to cost-focused governance — reveal tension between long-term purpose and short-term earnings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Indra Nooyi's 'Performance with Purpose' genuinely transformed PepsiCo's identity, and the pep+ sustainability framework maintains that legacy with specific commitments to regenerative agriculture (3.5M acres), healthier products, and environmental impact [3]. However, the May 2025 downgrade of climate targets (net-zero pushed from 2040 to 2050, emissions cuts reduced) and plastic reduction retreat undermine the credibility of the cause when it becomes costly [3]. The Just Cause scores 2/3 — genuine but partially compromised.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PepsiCo's organizational restructuring — merging Foods and Beverages under Ram Krishnan, appointing a Vice Chairman for global commercial operations — shows strategic ambition but also creates uncertainty [2]. The company's 315,000-employee base provides stability, and the promotion of internal leaders (Krishnan, Kanioura) signals trust in existing talent. However, the focus on cost-cutting and automation (20% labor reduction) may erode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PepsiCo consistently acknowledges Coca-Cola's brand strength and marketing excellence, using the rivalry to sharpen its own multi-category strategy [1]. CEO Laguarta's Davos commentary about reframing sustainability cost as 'short-term vs. long-term' shows willingness to learn from the broader competitive landscape rather than simply trying to win each quarter.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PepsiCo's evolution from a pure beverage company to a $94B food-and-beverage portfolio — acquiring Frito-Lay, Quaker, and building the snack business into the majority of revenue — represents significant strategic flexibility executed over decades [1]. The current AI-first transformation is ambitious. However, recent moves emphasize optimization (SKU cuts, cost savings) over bold reinvention, scoring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'agentic AI-first by 2026' commitment is a courageous operational bet that few CPG companies have made [2]. Nooyi's original 'Performance with Purpose' pivot was genuinely courageous — investing in healthier products when the market wanted maximum profit. However, the 2025 retreat on sustainability targets when they became costly is the opposite of courage, revealing that current leadership prioritizes earnings guidance over environmental commitments when tested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PepsiCo is a $94B revenue Dividend King offering defensive income with a 3.72% yield and 54 consecutive years of dividend increases, supported by 7.3% five-year dividend growth CAGR [1][4]. The company is executing an ambitious operational transformation — committing to be 'agentic AI-first' by end of 2026, targeting 100+ basis points of margin expansion over three years, and guiding to 5-7% core EPS growth in FY2026 [1][2]. At 16.7x forward P/E, PepsiCo trades at a discount to its five-year average (~23x) and offers compelling value for a company with the #1 global snack brand (Frito-Lay) and dual food/beverage portfolio generating $15B in annual operating profit. The new $10B buyback program and 80%+ free cash flow conversion provide additional shareholder return visibility [1].</w:t>
      </w:r>
    </w:p>
    <w:p>
      <w:pPr>
        <w:spacing w:after="120"/>
      </w:pPr>
      <w:r>
        <w:rPr>
          <w:rFonts w:ascii="Calibri" w:hAnsi="Calibri"/>
          <w:b w:val="0"/>
          <w:color w:val="3A4A28"/>
          <w:sz w:val="20"/>
        </w:rPr>
        <w:t>The bear case centers on stretched financial health and ESG credibility erosion. The 258% D/E ratio is elevated for consumer staples, and the 93.7% payout ratio leaves virtually no margin of safety — any earnings miss directly threatens dividend sustainability [4]. Profit margin of 8.8% is below peers (Coca-Cola ~25%), reflecting PepsiCo's lower-margin snack business. The May 2025 downgrade of climate targets — net-zero pushed from 2040 to 2050, emissions cuts reduced, plastics goals diluted — combined with New York AG and Baltimore plastic pollution lawsuits and Indian sugar supply chain forced labor allegations damage the ESG narrative [3]. Frito-Lay North America volume has been under pressure from consumer trade-down, and 2-4% organic revenue growth guidance suggests modest top-line expansion. Tariff exposure, commodity inflation, and the 22% effective tax rate from global minimum tax create margin headwinds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AI-first transformation by end of 2026 via Salesforce Agentforce 360, with manufacturing automation projected to reduce labor dependencies by 20% by 2027 and drive record productivity savings [2]</w:t>
      </w:r>
    </w:p>
    <w:p>
      <w:pPr>
        <w:spacing w:before="40" w:after="40"/>
        <w:ind w:left="283"/>
      </w:pPr>
      <w:r>
        <w:rPr>
          <w:rFonts w:ascii="Calibri" w:hAnsi="Calibri"/>
          <w:b/>
          <w:color w:val="4A6B25"/>
          <w:sz w:val="20"/>
        </w:rPr>
        <w:t xml:space="preserve">2. </w:t>
      </w:r>
      <w:r>
        <w:rPr>
          <w:rFonts w:ascii="Calibri" w:hAnsi="Calibri"/>
          <w:b w:val="0"/>
          <w:color w:val="3A4A28"/>
          <w:sz w:val="20"/>
        </w:rPr>
        <w:t>100+ basis points of operating margin expansion over 2026-2028, funded by SKU rationalization (20% US cuts), AI-driven efficiency, and stepped-up advertising to support growth [1]</w:t>
      </w:r>
    </w:p>
    <w:p>
      <w:pPr>
        <w:spacing w:before="40" w:after="40"/>
        <w:ind w:left="283"/>
      </w:pPr>
      <w:r>
        <w:rPr>
          <w:rFonts w:ascii="Calibri" w:hAnsi="Calibri"/>
          <w:b/>
          <w:color w:val="4A6B25"/>
          <w:sz w:val="20"/>
        </w:rPr>
        <w:t xml:space="preserve">3. </w:t>
      </w:r>
      <w:r>
        <w:rPr>
          <w:rFonts w:ascii="Calibri" w:hAnsi="Calibri"/>
          <w:b w:val="0"/>
          <w:color w:val="3A4A28"/>
          <w:sz w:val="20"/>
        </w:rPr>
        <w:t>54th consecutive dividend increase and new $10B share repurchase program providing capital return visibility at 16.7x forward P/E discount to historical average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Dangerously high 93.7% payout ratio with 258% D/E leaves no cushion for earnings volatility — any earnings miss directly threatens the Dividend King streak and investor confidence [4]</w:t>
      </w:r>
    </w:p>
    <w:p>
      <w:pPr>
        <w:spacing w:before="40" w:after="40"/>
        <w:ind w:left="283"/>
      </w:pPr>
      <w:r>
        <w:rPr>
          <w:rFonts w:ascii="Calibri" w:hAnsi="Calibri"/>
          <w:b/>
          <w:color w:val="4A6B25"/>
          <w:sz w:val="20"/>
        </w:rPr>
        <w:t xml:space="preserve">2. </w:t>
      </w:r>
      <w:r>
        <w:rPr>
          <w:rFonts w:ascii="Calibri" w:hAnsi="Calibri"/>
          <w:b w:val="0"/>
          <w:color w:val="3A4A28"/>
          <w:sz w:val="20"/>
        </w:rPr>
        <w:t>ESG credibility erosion from downgraded climate targets (net-zero delayed to 2050), plastics reduction retreat, and active lawsuits from New York AG and Baltimore for plastic pollution [3]</w:t>
      </w:r>
    </w:p>
    <w:p>
      <w:pPr>
        <w:spacing w:before="40" w:after="40"/>
        <w:ind w:left="283"/>
      </w:pPr>
      <w:r>
        <w:rPr>
          <w:rFonts w:ascii="Calibri" w:hAnsi="Calibri"/>
          <w:b/>
          <w:color w:val="4A6B25"/>
          <w:sz w:val="20"/>
        </w:rPr>
        <w:t xml:space="preserve">3. </w:t>
      </w:r>
      <w:r>
        <w:rPr>
          <w:rFonts w:ascii="Calibri" w:hAnsi="Calibri"/>
          <w:b w:val="0"/>
          <w:color w:val="3A4A28"/>
          <w:sz w:val="20"/>
        </w:rPr>
        <w:t>Frito-Lay North America volume pressure from consumer trade-down to private label and healthier alternatives, with organic revenue growth guided at only 2-4% for FY2026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PepsiCo's core business — manufacturing, distributing, and selling physical food and beverage products — involves supply chains, agricultural sourcing, and retail relationships that AI cannot displace [2]. Consumers will continue eating chips and drinking beverages regardless of AI advancement. However, PepsiCo's marketing, route-to-market, and demand forecasting functions face moderate AI-driven efficiency pressure, and private-label competitors could use AI to close the innovation gap with branded CPG companies. The company's direct-store-delivery network and brand equity provide meaningful defensive moats. AI Opportunity (1/1): PepsiCo is generating tangible productivity savings through AI-driven inventory management, agentic AI across business functions (Salesforce Agentforce 360), and manufacturing robotics, with automation projected to reduce labor dependencies by 20% by 2027 [2]. The company has built a large internal data science organization translating AI into measurable cost reduction.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PepsiCo Q4 2025 Earnings Release and FY2026 Financial Outlook — $94B revenue, 5-7% EPS growth guidance, $10B buyback, February 2026</w:t>
      </w:r>
    </w:p>
    <w:p>
      <w:pPr>
        <w:spacing w:before="20" w:after="20"/>
        <w:ind w:left="170"/>
      </w:pPr>
      <w:r>
        <w:rPr>
          <w:rFonts w:ascii="Calibri" w:hAnsi="Calibri"/>
          <w:b/>
          <w:color w:val="4A6B25"/>
          <w:sz w:val="15"/>
        </w:rPr>
        <w:t xml:space="preserve">2. </w:t>
      </w:r>
      <w:r>
        <w:rPr>
          <w:rFonts w:ascii="Calibri" w:hAnsi="Calibri"/>
          <w:b w:val="0"/>
          <w:color w:val="3A4A28"/>
          <w:sz w:val="17"/>
        </w:rPr>
        <w:t>ContentGrip, ARC Advisory, Marketing-Interactive — PepsiCo agentic AI-first strategy, Salesforce Agentforce 360, automation projections, 2025-2026</w:t>
      </w:r>
    </w:p>
    <w:p>
      <w:pPr>
        <w:spacing w:before="20" w:after="20"/>
        <w:ind w:left="170"/>
      </w:pPr>
      <w:r>
        <w:rPr>
          <w:rFonts w:ascii="Calibri" w:hAnsi="Calibri"/>
          <w:b/>
          <w:color w:val="4A6B25"/>
          <w:sz w:val="15"/>
        </w:rPr>
        <w:t xml:space="preserve">3. </w:t>
      </w:r>
      <w:r>
        <w:rPr>
          <w:rFonts w:ascii="Calibri" w:hAnsi="Calibri"/>
          <w:b w:val="0"/>
          <w:color w:val="3A4A28"/>
          <w:sz w:val="17"/>
        </w:rPr>
        <w:t>ESG Dive, Packaging Europe, Trellis — PepsiCo sustainability target downgrades, plastic lawsuits, Indian supply chain labor concerns,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PEP (PepsiCo),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