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PFE</w:t>
      </w:r>
      <w:r>
        <w:rPr>
          <w:rFonts w:ascii="Calibri" w:hAnsi="Calibri"/>
          <w:b/>
          <w:color w:val="1A2010"/>
          <w:sz w:val="40"/>
        </w:rPr>
        <w:t xml:space="preserve">  Pfizer, Inc.</w:t>
      </w:r>
    </w:p>
    <w:p>
      <w:pPr>
        <w:spacing w:after="120"/>
      </w:pPr>
      <w:r>
        <w:rPr>
          <w:rFonts w:ascii="Calibri" w:hAnsi="Calibri"/>
          <w:b/>
          <w:color w:val="6E8450"/>
          <w:sz w:val="18"/>
        </w:rPr>
        <w:t>DIVIDEND SLEEVE · 2026-05-12 · Inspire: -93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Drug Manufacturers - General · NYSE · United States</w:t>
      </w:r>
    </w:p>
    <w:p>
      <w:pPr>
        <w:spacing w:after="80"/>
      </w:pPr>
      <w:r>
        <w:rPr>
          <w:rFonts w:ascii="Calibri" w:hAnsi="Calibri"/>
          <w:b w:val="0"/>
          <w:color w:val="3A4A28"/>
          <w:sz w:val="20"/>
        </w:rPr>
        <w:t>Pfizer Inc. discovers, develops, manufactures, markets, and sells biopharmaceutical products globally through its Biopharma, PC1, and Pfizer Ignite segments. The company's portfolio spans cardiovascular (Eliquis), oncology (Padcev, Ibrance, Xtandi), immunology (Xeljanz), rare disease (Vyndaqel), anti-infectives (Paxlovid), and vaccines (Prevnar, Abrysvo). Founded in 1849, Pfizer is one of the world's largest pharmaceutical companies.</w:t>
      </w:r>
    </w:p>
    <w:p>
      <w:r>
        <w:rPr>
          <w:rFonts w:ascii="Calibri" w:hAnsi="Calibri"/>
          <w:b/>
          <w:color w:val="6E8450"/>
          <w:sz w:val="18"/>
        </w:rPr>
        <w:t>75,000 Employees · https://www.pfizer.com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Pfizer executed a transformative acquisition of Seagen for $43 billion in 2023, adding a world-class antibody-drug conjugate (ADC) platform that is now generating 20% operational revenue growth with Padcev up 39% operationally in Q1 2026 [1]. The COVID vaccine/Paxlovid development demonstrated rapid innovation capability. AI Deployment (2/2): Pfizer's AI-powered predictive machine learning research hub has cut drug discovery time from years to 30 days, with AI deployed across the entire value chain from target identification through clinical trials and manufacturing optimization [2]. Market Share (1/2): Pfizer maintains strong positions in cardiovascular (Eliquis partnership), oncology (growing through Seagen portfolio), and vaccines (Prevnar family), though market share in individual categories varies. Product Pipeline (1/2): Pipeline includes FDA approval of VEPPANU, positive Phase 3 results for ELREXFIO, and extended VYNDAMAX patent protection through 2031, but the pipeline must overcome significant patent cliffs on legacy products [1]. R&amp;D Intensity (1/1): R&amp;D spending of $11 billion planned for 2026 represents strong investment relative to revenue, above pharmaceutical industry average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Pfizer's purpose of 'breakthroughs that change patients' lives' is clear and healthcare-focused, connecting the company's work to patient outcomes. It is specific to pharma but has been a consistent guiding principle validated by the COVID-19 vaccine response. However, it is not uniquely distinctive from pharma peer mission statements [4]. Community &amp; Charitable Impact (2/2): Pfizer has substantial charitable programs including global health partnerships, patient assistance programs for affordable medicine access, and sustainability bonds allocating proceeds to underserved healthcare systems. The 2024 Impact Report documents specific programs with measurable outcomes [5]. Employee Retention (1/2): With 75,000 employees and CEO Albert Bourla emphasizing a culture of 'license to reimagine how they work,' Pfizer invests in employee development, though the post-COVID restructuring and workforce reductions create some cultural uncertainty [2]. Insider Buying (1/2): No specific data on recent net insider buying patterns was found, though management compensation is heavily equity-based, aligning interests with shareholders.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Infrastructure is solid for a mature dividend-paying pharmaceutical company. Forward P/E of 9.1x is compelling, well below the 20x target, reflecting market skepticism that creates value opportunity [1]. Debt-to-equity of 71.6% is near target. Revenue growth of 5.4% YoY with Q1 2026 revenue of $14.45 billion and full-year guidance of $59.5-62.5 billion shows stability [1]. ROE of 8.3% is below the 15% target but positive. Profit margin of 11.8% is below the 20% target, compressed by Seagen integration costs and post-COVID normalization. Dividend metrics are mixed: 6.66% yield with 15+ consecutive years of growth is strong, but payout ratio of 131% is unsustainable without earnings recovery. Five-year dividend growth CAGR of 3.2% trails inflation [6]. Liquidity is exceptional at $992 million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Pfizer demonstrates mixed infinite game characteristics. The 177-year corporate history and consistent mission of patient-centered breakthroughs show long-term orientation, but recent financial engineering (massive Seagen acquisition, unsustainable payout ratio) and quarterly earnings pressure introduce finite game dynamics.</w:t>
      </w:r>
    </w:p>
    <w:p>
      <w:pPr>
        <w:spacing w:before="200" w:after="40"/>
      </w:pPr>
      <w:r>
        <w:rPr>
          <w:rFonts w:ascii="Calibri" w:hAnsi="Calibri"/>
          <w:b/>
          <w:color w:val="1A2010"/>
          <w:sz w:val="22"/>
        </w:rPr>
        <w:t>Just Cause</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Pfizer's purpose of 'breakthroughs that change patients' lives' connects the company to a genuine cause — advancing human health. This has been validated most dramatically by the COVID-19 vaccine development, where Pfizer invested at risk before government funding was secured. The 177-year corporate history shows remarkable consistency of purpose through multiple eras of medicine [4]. However, the cause is standard for pharma and hasn't uniquely shaped strategic decisions relative to peers.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Albert Bourla emphasizes giving employees 'the license to reimagine how they work' and fostering a culture of experimentation with AI tools [2]. With 75,000 employees, Pfizer invests in training and development. However, post-COVID restructuring included significant workforce reductions and cost-cutting initiatives that may have undermined trust. No exceptional employee retention data distinguishing Pfizer from pharma peers was found.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Pfizer operates in a competitive pharmaceutical landscape alongside Johnson &amp; Johnson, Merck, Roche, and Novartis. Management commentary focuses on Pfizer's strategic positioning and pipeline differentiation rather than destroying competitors. The Seagen acquisition was framed as building capabilities in ADC technology rather than winning a bidding war, and the Boltz AI collaboration shows willingness to learn from external partners [1].</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Pfizer demonstrated flexibility through its rapid COVID vaccine/Paxlovid pivot and the $43 billion Seagen acquisition to build an oncology platform as COVID revenues declined. These show strategic adaptation to market shifts. However, neither represents a truly transformative reinvention of the company — Pfizer remains fundamentally the same type of company it has been for decades, making drugs and selling them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Pfizer showed courage investing at risk in COVID vaccine development before government contracts, and committing $43 billion to Seagen when the company's stock was under pressure. CEO Bourla's $11 billion R&amp;D commitment for 2026 demonstrates investment in long-term capability [3]. However, the unsustainable 131% payout ratio and cost-cutting programs suggest financial pressure is driving some near-term optimization at the expense of long-term flexibility.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Pfizer offers a compelling value proposition at a forward P/E of 9.1x with a 6.66% dividend yield, supported by $59.5-62.5 billion in 2026 revenue guidance and 22% operational growth from launched and acquired products [1]. The Seagen acquisition is delivering, with Padcev up 39% operationally and the broader oncology portfolio providing a new growth engine to offset COVID revenue decline. AI-powered drug discovery cutting timelines to 30 days represents a genuine competitive advantage [2].</w:t>
      </w:r>
    </w:p>
    <w:p>
      <w:pPr>
        <w:spacing w:after="120"/>
      </w:pPr>
      <w:r>
        <w:rPr>
          <w:rFonts w:ascii="Calibri" w:hAnsi="Calibri"/>
          <w:b w:val="0"/>
          <w:color w:val="3A4A28"/>
          <w:sz w:val="20"/>
        </w:rPr>
        <w:t>Key concerns center on dividend sustainability and profitability recovery. The 131% payout ratio is unsustainable and requires significant earnings growth to normalize — forward EPS of $2.84 versus a $1.72 annual dividend would bring the ratio to a more manageable 60%, but execution must deliver [6]. Profit margin of 11.8% is below pharma peers, compressed by Seagen integration costs and COVID normalization. The PEG ratio of 13.77 suggests the market sees limited growth relative to valuation. Patent cliffs on legacy products (particularly Eliquis partnership expiring) create medium-term revenue risk. For IOWN's framework, strong infrastructure and AI resilience scores are offset by the deeply negative Inspire score (-93) which, while not affecting the overall score, signals significant faith alignment concerns.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Seagen portfolio execution with Padcev's 39% operational growth and expansion into new oncology indications (MIBC) driving revenue reacceleration [1]</w:t>
      </w:r>
    </w:p>
    <w:p>
      <w:pPr>
        <w:spacing w:before="40" w:after="40"/>
        <w:ind w:left="283"/>
      </w:pPr>
      <w:r>
        <w:rPr>
          <w:rFonts w:ascii="Calibri" w:hAnsi="Calibri"/>
          <w:b/>
          <w:color w:val="4A6B25"/>
          <w:sz w:val="20"/>
        </w:rPr>
        <w:t xml:space="preserve">2. </w:t>
      </w:r>
      <w:r>
        <w:rPr>
          <w:rFonts w:ascii="Calibri" w:hAnsi="Calibri"/>
          <w:b w:val="0"/>
          <w:color w:val="3A4A28"/>
          <w:sz w:val="20"/>
        </w:rPr>
        <w:t>AI-driven drug discovery reducing development timelines to 30 days could yield earlier pipeline reads and potentially industry-leading R&amp;D productivity from the $11 billion annual investment [2]</w:t>
      </w:r>
    </w:p>
    <w:p>
      <w:pPr>
        <w:spacing w:before="40" w:after="40"/>
        <w:ind w:left="283"/>
      </w:pPr>
      <w:r>
        <w:rPr>
          <w:rFonts w:ascii="Calibri" w:hAnsi="Calibri"/>
          <w:b/>
          <w:color w:val="4A6B25"/>
          <w:sz w:val="20"/>
        </w:rPr>
        <w:t xml:space="preserve">3. </w:t>
      </w:r>
      <w:r>
        <w:rPr>
          <w:rFonts w:ascii="Calibri" w:hAnsi="Calibri"/>
          <w:b w:val="0"/>
          <w:color w:val="3A4A28"/>
          <w:sz w:val="20"/>
        </w:rPr>
        <w:t>VYNDAMAX patent extension through 2031 and FDA approval of VEPPANU provide near-term revenue protection and pipeline optionality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Unsustainable 131% dividend payout ratio — without meaningful earnings recovery toward the $2.84 forward EPS target, the dividend could face a cut that would damage income investor confidence [6]</w:t>
      </w:r>
    </w:p>
    <w:p>
      <w:pPr>
        <w:spacing w:before="40" w:after="40"/>
        <w:ind w:left="283"/>
      </w:pPr>
      <w:r>
        <w:rPr>
          <w:rFonts w:ascii="Calibri" w:hAnsi="Calibri"/>
          <w:b/>
          <w:color w:val="4A6B25"/>
          <w:sz w:val="20"/>
        </w:rPr>
        <w:t xml:space="preserve">2. </w:t>
      </w:r>
      <w:r>
        <w:rPr>
          <w:rFonts w:ascii="Calibri" w:hAnsi="Calibri"/>
          <w:b w:val="0"/>
          <w:color w:val="3A4A28"/>
          <w:sz w:val="20"/>
        </w:rPr>
        <w:t>Patent cliff exposure on Eliquis (Bristol-Myers Squibb partnership) and other legacy blockbusters could create significant revenue headwinds in the 2027-2030 timeframe</w:t>
      </w:r>
    </w:p>
    <w:p>
      <w:pPr>
        <w:spacing w:before="40" w:after="40"/>
        <w:ind w:left="283"/>
      </w:pPr>
      <w:r>
        <w:rPr>
          <w:rFonts w:ascii="Calibri" w:hAnsi="Calibri"/>
          <w:b/>
          <w:color w:val="4A6B25"/>
          <w:sz w:val="20"/>
        </w:rPr>
        <w:t xml:space="preserve">3. </w:t>
      </w:r>
      <w:r>
        <w:rPr>
          <w:rFonts w:ascii="Calibri" w:hAnsi="Calibri"/>
          <w:b w:val="0"/>
          <w:color w:val="3A4A28"/>
          <w:sz w:val="20"/>
        </w:rPr>
        <w:t>Seagen integration execution risk — the $43 billion acquisition must deliver sustained oncology growth to justify the premium, and any clinical setbacks in the ADC portfolio would be severely punished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Pfizer's core business of discovering, developing, manufacturing, and distributing pharmaceuticals is protected from AI displacement by deep regulatory moats (FDA approval processes), physical manufacturing requirements, and proprietary clinical trial data that AI cannot easily replicate. Drug manufacturing, distribution, and physician relationships require physical-world operations that AI cannot substitute [7]. However, AI does create partial exposure: AI-powered drug discovery from competitors could compress Pfizer's R&amp;D time advantage, and AI diagnostic tools could potentially reduce demand for some treatments. AI Opportunity (1/1): Pfizer generates meaningful AI-related value through its machine learning drug discovery hub that has reduced discovery timelines from years to 30 days, with AI deployed across clinical trials, manufacturing optimization, and commercial operations — representing the 'most comprehensive AI strategy in the pharmaceutical industry' according to analysts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-93</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Abortifacients </w:t>
      </w:r>
      <w:r>
        <w:rPr>
          <w:rFonts w:ascii="Calibri" w:hAnsi="Calibri"/>
          <w:b w:val="0"/>
          <w:color w:val="9DAF88"/>
          <w:sz w:val="17"/>
        </w:rPr>
        <w:t xml:space="preserve">  ·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Embryonic Stem Cells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Pfizer Q1 2026 Earnings Release — Revenue of $14.45B, reaffirmed FY guidance of $59.5-62.5B, May 5, 2026</w:t>
      </w:r>
    </w:p>
    <w:p>
      <w:pPr>
        <w:spacing w:before="20" w:after="20"/>
        <w:ind w:left="170"/>
      </w:pPr>
      <w:r>
        <w:rPr>
          <w:rFonts w:ascii="Calibri" w:hAnsi="Calibri"/>
          <w:b/>
          <w:color w:val="4A6B25"/>
          <w:sz w:val="15"/>
        </w:rPr>
        <w:t xml:space="preserve">2. </w:t>
      </w:r>
      <w:r>
        <w:rPr>
          <w:rFonts w:ascii="Calibri" w:hAnsi="Calibri"/>
          <w:b w:val="0"/>
          <w:color w:val="3A4A28"/>
          <w:sz w:val="17"/>
        </w:rPr>
        <w:t>Chief AI Officer — How Pfizer Cut Drug Discovery Time From Years to 30 Days, 2025</w:t>
      </w:r>
    </w:p>
    <w:p>
      <w:pPr>
        <w:spacing w:before="20" w:after="20"/>
        <w:ind w:left="170"/>
      </w:pPr>
      <w:r>
        <w:rPr>
          <w:rFonts w:ascii="Calibri" w:hAnsi="Calibri"/>
          <w:b/>
          <w:color w:val="4A6B25"/>
          <w:sz w:val="15"/>
        </w:rPr>
        <w:t xml:space="preserve">3. </w:t>
      </w:r>
      <w:r>
        <w:rPr>
          <w:rFonts w:ascii="Calibri" w:hAnsi="Calibri"/>
          <w:b w:val="0"/>
          <w:color w:val="3A4A28"/>
          <w:sz w:val="17"/>
        </w:rPr>
        <w:t>Pfizer Full-Year 2026 Guidance Call — $11B R&amp;D commitment, December 2025</w:t>
      </w:r>
    </w:p>
    <w:p>
      <w:pPr>
        <w:spacing w:before="20" w:after="20"/>
        <w:ind w:left="170"/>
      </w:pPr>
      <w:r>
        <w:rPr>
          <w:rFonts w:ascii="Calibri" w:hAnsi="Calibri"/>
          <w:b/>
          <w:color w:val="4A6B25"/>
          <w:sz w:val="15"/>
        </w:rPr>
        <w:t xml:space="preserve">4. </w:t>
      </w:r>
      <w:r>
        <w:rPr>
          <w:rFonts w:ascii="Calibri" w:hAnsi="Calibri"/>
          <w:b w:val="0"/>
          <w:color w:val="3A4A28"/>
          <w:sz w:val="17"/>
        </w:rPr>
        <w:t>Pfizer.com — Company mission and purpose statement, accessed May 2026</w:t>
      </w:r>
    </w:p>
    <w:p>
      <w:pPr>
        <w:spacing w:before="20" w:after="20"/>
        <w:ind w:left="170"/>
      </w:pPr>
      <w:r>
        <w:rPr>
          <w:rFonts w:ascii="Calibri" w:hAnsi="Calibri"/>
          <w:b/>
          <w:color w:val="4A6B25"/>
          <w:sz w:val="15"/>
        </w:rPr>
        <w:t xml:space="preserve">5. </w:t>
      </w:r>
      <w:r>
        <w:rPr>
          <w:rFonts w:ascii="Calibri" w:hAnsi="Calibri"/>
          <w:b w:val="0"/>
          <w:color w:val="3A4A28"/>
          <w:sz w:val="17"/>
        </w:rPr>
        <w:t>Pfizer 2024 Impact Report — Sustainability and social responsibility accomplishments, 2024</w:t>
      </w:r>
    </w:p>
    <w:p>
      <w:pPr>
        <w:spacing w:before="20" w:after="20"/>
        <w:ind w:left="170"/>
      </w:pPr>
      <w:r>
        <w:rPr>
          <w:rFonts w:ascii="Calibri" w:hAnsi="Calibri"/>
          <w:b/>
          <w:color w:val="4A6B25"/>
          <w:sz w:val="15"/>
        </w:rPr>
        <w:t xml:space="preserve">6. </w:t>
      </w:r>
      <w:r>
        <w:rPr>
          <w:rFonts w:ascii="Calibri" w:hAnsi="Calibri"/>
          <w:b w:val="0"/>
          <w:color w:val="3A4A28"/>
          <w:sz w:val="17"/>
        </w:rPr>
        <w:t>MarketBeat — Pfizer Dividend History, 15 consecutive years of growth, 6.39% yield, accessed May 2026</w:t>
      </w:r>
    </w:p>
    <w:p>
      <w:pPr>
        <w:spacing w:before="20" w:after="20"/>
        <w:ind w:left="170"/>
      </w:pPr>
      <w:r>
        <w:rPr>
          <w:rFonts w:ascii="Calibri" w:hAnsi="Calibri"/>
          <w:b/>
          <w:color w:val="4A6B25"/>
          <w:sz w:val="15"/>
        </w:rPr>
        <w:t xml:space="preserve">7. </w:t>
      </w:r>
      <w:r>
        <w:rPr>
          <w:rFonts w:ascii="Calibri" w:hAnsi="Calibri"/>
          <w:b w:val="0"/>
          <w:color w:val="3A4A28"/>
          <w:sz w:val="17"/>
        </w:rPr>
        <w:t>BioSpace — AI Is Changing Pharma's Bottom Line: Pfizer competitive landscape analysis,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