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PFGC</w:t>
      </w:r>
      <w:r>
        <w:rPr>
          <w:rFonts w:ascii="Calibri" w:hAnsi="Calibri"/>
          <w:b/>
          <w:color w:val="1A2010"/>
          <w:sz w:val="40"/>
        </w:rPr>
        <w:t xml:space="preserve">  Performance Food Group Company</w:t>
      </w:r>
    </w:p>
    <w:p>
      <w:pPr>
        <w:spacing w:after="120"/>
      </w:pPr>
      <w:r>
        <w:rPr>
          <w:rFonts w:ascii="Calibri" w:hAnsi="Calibri"/>
          <w:b/>
          <w:color w:val="6E8450"/>
          <w:sz w:val="18"/>
        </w:rPr>
        <w:t>GROWTH SLEEVE · 2026-04-15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Food Distribution · NYSE · United States</w:t>
      </w:r>
    </w:p>
    <w:p>
      <w:pPr>
        <w:spacing w:after="80"/>
      </w:pPr>
      <w:r>
        <w:rPr>
          <w:rFonts w:ascii="Calibri" w:hAnsi="Calibri"/>
          <w:b w:val="0"/>
          <w:color w:val="3A4A28"/>
          <w:sz w:val="20"/>
        </w:rPr>
        <w:t>Performance Food Group is one of the largest North American foodservice distributors, serving independent and chain restaurants, schools, hospitals, convenience stores, and vending operators through its Foodservice, Vistar, and Convenience segments. Post the 2024 Cheney Brothers acquisition, PFG operates a coast-to-coast distribution network spanning roughly 150+ facilities.</w:t>
      </w:r>
    </w:p>
    <w:p>
      <w:r>
        <w:rPr>
          <w:rFonts w:ascii="Calibri" w:hAnsi="Calibri"/>
          <w:b/>
          <w:color w:val="6E8450"/>
          <w:sz w:val="18"/>
        </w:rPr>
        <w:t>40,000 Employees · https://www.pfgc.com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Q1 FY2026 net sales grew 10.8% to $17.1B and Adjusted EBITDA rose 16.6% to $480.1M, but Q2 FY2026 saw growth decelerate to 5.2% ($16.4B) with management citing deflation and Cheney integration costs [1][2]. AI Deployment (1/2): Limited disclosed AI deployment beyond standard logistics analytics, routing optimization, and supplier data platforms. Market Share (2/2): PFG is a top-three U.S. broadline foodservice distributor competing with Sysco and US Foods, with leadership in convenience store and vending distribution via Vistar [1]. Pipeline (1/2): Cheney Brothers integration is the primary growth lever alongside independent restaurant case growth; organic volume grew only 2.8% in Q1 [1]. R&amp;D Intensity (0/1): As a distributor, R&amp;D spend is immaterial — competitive edge comes from logistics scale and private label programs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PFG's stated mission centers on feeding the foodservice industry and supporting 300,000+ customers; leadership succession from George Holm to Scott McPherson (Jan 2026) was well-telegraphed and continuity-focused [4]. Community Impact (1/2): The company employs ~40,000 and supports independent restaurant operators through credit, marketing, and logistics services, with a Braveheart/Pathproven sustainable beef program cited in ESG disclosures [3]. Employee Retention (1/2): Glassdoor ratings are mixed — 2.9/5 for work-life balance, 3.0/5 for culture and values, and bottom 45% executive ratings on Comparably suggest pressure on associates during rapid acquisitive growth [4]. Insider Buying (1/2): Holm retains executive chair equity exposure and McPherson's elevation brings operator alignment, but no material insider buying cluster disclosed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PFG delivered net sales of $17.1B in Q1 FY2026 (+10.8%) and $16.4B in Q2 (+5.2%) with FY2026 guidance narrowed to $67.25-68.25B, showing mid-single-digit top-line growth supplemented by M&amp;A [1][2]. Q2 net income jumped 45.5% to $61.7M, but Adjusted EBITDA margin remains thin (~2.8%) reflecting the low-margin distribution model. Debt-to-equity is elevated post-Cheney Brothers acquisition (~180%+) with 2027 notes being refinanced [2]. ROE is moderate (~12-15%), profit margin is razor thin (~1%), and forward P/E of ~17-19x is reasonable for the growth rate. Liquidity floor easily cleared: the stock trades ~$90 on 700K+ avg volume, well above the $1M threshold.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PFG's long-running acquisitive growth strategy under George Holm — Reinhart, Eby-Brown, Core-Mark, Cheney Brothers — plus a carefully managed leadership succession to Scott McPherson reflect patient empire building. However, low margins, high leverage, and quarter-to-quarter guidance narrowing suggest a company still navigating the tension between scale ambition and execution discipline.</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Feeding the foodservice industry and powering independent operators is a legitimate, enduring cause, underpinned by the Performance Foodservice, Vistar, and Convenience segments serving 300,000+ customers [4]. The cause is however operational rather than aspirational.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Glassdoor's 2.9/5 work-life balance score and Comparably's bottom-45% executive ranking show cultural strain amid heavy M&amp;A integration [4]. Employee comments cite leadership 'chasing their tails' during rapid growth, suggesting trust and development gaps at the associate level.</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PFG openly competes with Sysco and US Foods for broadline share and treats this rivalry as a catalyst for improving customer service and logistics efficiency. The Cheney Brothers acquisition directly responded to competitive pressure in the Southeast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three-segment model (Foodservice, Vistar, Convenience) provides diversification across end-markets, and the 2024 Cheney Brothers acquisition materially reshaped the Southeast footprint [1]. However, core logistics business model has not fundamentally transformed in a decade.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Executing a $2B+ Cheney Brothers acquisition while simultaneously refinancing 2027 debt and transitioning CEOs shows willingness to take calibrated risk [2]. Management's decision to narrow rather than cut FY2026 guidance despite deflation and integration drag reflects measured confidence rather than bravado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Performance Food Group is a scaled North American foodservice distributor delivering double-digit revenue growth boosted by the Cheney Brothers acquisition — Q1 FY2026 net sales rose 10.8% to $17.1B with Adjusted EBITDA up 16.6% to $480.1M [1]. Net income accelerated 45.5% in Q2 FY2026 even as sales growth cooled to 5.2%, demonstrating operating leverage as integration costs normalize [2]. Full-year FY2026 guidance of $67.25-68.25B reflects management confidence in mid-single-digit organic plus M&amp;A growth, supported by refinanced 2027 debt [2]. At ~17-18x forward earnings, PFG trades at a reasonable multiple for a top-three broadline distributor with durable physical distribution moats, strong ESG management rating from Sustainalytics, and a favorable Inspire Insight score of +54 [3].</w:t>
      </w:r>
    </w:p>
    <w:p>
      <w:pPr>
        <w:spacing w:after="120"/>
      </w:pPr>
      <w:r>
        <w:rPr>
          <w:rFonts w:ascii="Calibri" w:hAnsi="Calibri"/>
          <w:b w:val="0"/>
          <w:color w:val="3A4A28"/>
          <w:sz w:val="20"/>
        </w:rPr>
        <w:t>The bear case centers on margin pressure, leverage, and culture strain. Q2 FY2026 saw foodservice deflation and higher-than-expected Cheney integration costs force management to trim the outlook [2]. Profit margin remains thin (~1%) in a structurally low-margin industry, leaving little buffer if independent restaurant traffic softens further. Debt-to-equity near 180% post-Cheney Brothers acquisition constrains further M&amp;A and elevates interest expense sensitivity [2]. Glassdoor ratings of 2.9/5 work-life balance and 3.0/5 culture alongside a bottom-45% executive ranking on Comparably suggest associates are strained by rapid acquisitive growth, creating retention and integration risk under new CEO Scott McPherson [4]. The leadership succession, while carefully planned, is still a transition, and AI deployment for route optimization and demand forecasting remains behind industry leaders.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Cheney Brothers integration synergy realization through FY2026-FY2027 should expand Adjusted EBITDA margins as one-time costs roll off [1][2]</w:t>
      </w:r>
    </w:p>
    <w:p>
      <w:pPr>
        <w:spacing w:before="40" w:after="40"/>
        <w:ind w:left="283"/>
      </w:pPr>
      <w:r>
        <w:rPr>
          <w:rFonts w:ascii="Calibri" w:hAnsi="Calibri"/>
          <w:b/>
          <w:color w:val="4A6B25"/>
          <w:sz w:val="20"/>
        </w:rPr>
        <w:t xml:space="preserve">2. </w:t>
      </w:r>
      <w:r>
        <w:rPr>
          <w:rFonts w:ascii="Calibri" w:hAnsi="Calibri"/>
          <w:b w:val="0"/>
          <w:color w:val="3A4A28"/>
          <w:sz w:val="20"/>
        </w:rPr>
        <w:t>CEO Scott McPherson's January 2026 transition brings operator discipline and supply chain depth, potentially sharpening execution versus Sysco and US Foods [4]</w:t>
      </w:r>
    </w:p>
    <w:p>
      <w:pPr>
        <w:spacing w:before="40" w:after="40"/>
        <w:ind w:left="283"/>
      </w:pPr>
      <w:r>
        <w:rPr>
          <w:rFonts w:ascii="Calibri" w:hAnsi="Calibri"/>
          <w:b/>
          <w:color w:val="4A6B25"/>
          <w:sz w:val="20"/>
        </w:rPr>
        <w:t xml:space="preserve">3. </w:t>
      </w:r>
      <w:r>
        <w:rPr>
          <w:rFonts w:ascii="Calibri" w:hAnsi="Calibri"/>
          <w:b w:val="0"/>
          <w:color w:val="3A4A28"/>
          <w:sz w:val="20"/>
        </w:rPr>
        <w:t>Independent restaurant case volume recovery as deflation moderates could drive higher-margin organic growth beyond the current 2.8% pace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Margin pressure from foodservice deflation and Cheney integration costs already forced FY2026 guidance narrowing — further deflation could compress thin ~1% net margins [2]</w:t>
      </w:r>
    </w:p>
    <w:p>
      <w:pPr>
        <w:spacing w:before="40" w:after="40"/>
        <w:ind w:left="283"/>
      </w:pPr>
      <w:r>
        <w:rPr>
          <w:rFonts w:ascii="Calibri" w:hAnsi="Calibri"/>
          <w:b/>
          <w:color w:val="4A6B25"/>
          <w:sz w:val="20"/>
        </w:rPr>
        <w:t xml:space="preserve">2. </w:t>
      </w:r>
      <w:r>
        <w:rPr>
          <w:rFonts w:ascii="Calibri" w:hAnsi="Calibri"/>
          <w:b w:val="0"/>
          <w:color w:val="3A4A28"/>
          <w:sz w:val="20"/>
        </w:rPr>
        <w:t>Debt-to-equity near 180% post-acquisition plus 2027 notes refinancing creates interest expense sensitivity if rates stay elevated [2]</w:t>
      </w:r>
    </w:p>
    <w:p>
      <w:pPr>
        <w:spacing w:before="40" w:after="40"/>
        <w:ind w:left="283"/>
      </w:pPr>
      <w:r>
        <w:rPr>
          <w:rFonts w:ascii="Calibri" w:hAnsi="Calibri"/>
          <w:b/>
          <w:color w:val="4A6B25"/>
          <w:sz w:val="20"/>
        </w:rPr>
        <w:t xml:space="preserve">3. </w:t>
      </w:r>
      <w:r>
        <w:rPr>
          <w:rFonts w:ascii="Calibri" w:hAnsi="Calibri"/>
          <w:b w:val="0"/>
          <w:color w:val="3A4A28"/>
          <w:sz w:val="20"/>
        </w:rPr>
        <w:t>Culture strain — Glassdoor 2.9/5 work-life balance and Comparably bottom-45% executive ranking raise retention risk during CEO transition and ongoing integration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Foodservice distribution is a physical, relationship-driven business — trucks, cold chain, warehouses, and restaurant sales reps are not replaceable by AI in a meaningful timeframe [4]. Scale economics in logistics and refrigerated freight create defensible moats against digital-first entrants. AI Opportunity (1/1): Route optimization, demand forecasting, and dynamic pricing offer modest margin improvement potential; PFG's private label and customer analytics platforms should benefit from applied AI, though deployment disclosure is limited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Performance Food Group Q1 FY2026 earnings release — 10.8% sales growth to $17.1B, 16.6% Adj EBITDA growth, November 5, 2025</w:t>
      </w:r>
    </w:p>
    <w:p>
      <w:pPr>
        <w:spacing w:before="20" w:after="20"/>
        <w:ind w:left="170"/>
      </w:pPr>
      <w:r>
        <w:rPr>
          <w:rFonts w:ascii="Calibri" w:hAnsi="Calibri"/>
          <w:b/>
          <w:color w:val="4A6B25"/>
          <w:sz w:val="15"/>
        </w:rPr>
        <w:t xml:space="preserve">2. </w:t>
      </w:r>
      <w:r>
        <w:rPr>
          <w:rFonts w:ascii="Calibri" w:hAnsi="Calibri"/>
          <w:b w:val="0"/>
          <w:color w:val="3A4A28"/>
          <w:sz w:val="17"/>
        </w:rPr>
        <w:t>Performance Food Group Q2 FY2026 earnings release and Simply Wall St coverage — 5.2% sales growth, 45.5% net income growth, FY2026 guidance narrowed to $67.25-68.25B, February 4, 2026</w:t>
      </w:r>
    </w:p>
    <w:p>
      <w:pPr>
        <w:spacing w:before="20" w:after="20"/>
        <w:ind w:left="170"/>
      </w:pPr>
      <w:r>
        <w:rPr>
          <w:rFonts w:ascii="Calibri" w:hAnsi="Calibri"/>
          <w:b/>
          <w:color w:val="4A6B25"/>
          <w:sz w:val="15"/>
        </w:rPr>
        <w:t xml:space="preserve">3. </w:t>
      </w:r>
      <w:r>
        <w:rPr>
          <w:rFonts w:ascii="Calibri" w:hAnsi="Calibri"/>
          <w:b w:val="0"/>
          <w:color w:val="3A4A28"/>
          <w:sz w:val="17"/>
        </w:rPr>
        <w:t>Performance Food Group 2023 ESG/CSR Report and Sustainalytics ESG Risk Rating — strong ESG management assessment</w:t>
      </w:r>
    </w:p>
    <w:p>
      <w:pPr>
        <w:spacing w:before="20" w:after="20"/>
        <w:ind w:left="170"/>
      </w:pPr>
      <w:r>
        <w:rPr>
          <w:rFonts w:ascii="Calibri" w:hAnsi="Calibri"/>
          <w:b/>
          <w:color w:val="4A6B25"/>
          <w:sz w:val="15"/>
        </w:rPr>
        <w:t xml:space="preserve">4. </w:t>
      </w:r>
      <w:r>
        <w:rPr>
          <w:rFonts w:ascii="Calibri" w:hAnsi="Calibri"/>
          <w:b w:val="0"/>
          <w:color w:val="3A4A28"/>
          <w:sz w:val="17"/>
        </w:rPr>
        <w:t>Performance Food Group leadership succession announcement (Holm to McPherson), Glassdoor reviews, Comparably executive ranking,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