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PFG</w:t>
      </w:r>
      <w:r>
        <w:rPr>
          <w:rFonts w:ascii="Calibri" w:hAnsi="Calibri"/>
          <w:b/>
          <w:color w:val="1A2010"/>
          <w:sz w:val="40"/>
        </w:rPr>
        <w:t xml:space="preserve">  Principal Financial Group, Inc.</w:t>
      </w:r>
    </w:p>
    <w:p>
      <w:pPr>
        <w:spacing w:after="120"/>
      </w:pPr>
      <w:r>
        <w:rPr>
          <w:rFonts w:ascii="Calibri" w:hAnsi="Calibri"/>
          <w:b/>
          <w:color w:val="6E8450"/>
          <w:sz w:val="18"/>
        </w:rPr>
        <w:t>DIVIDEND SLEEVE · 2026-04-22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Principal Financial Group provides retirement, asset management, and insurance products and services to businesses, individuals, and institutional clients worldwide. The company operates through Retirement and Income Solutions, Principal Asset Management, and Benefits and Protection segments, managing over $700B in assets under management.</w:t>
      </w:r>
    </w:p>
    <w:p>
      <w:r>
        <w:rPr>
          <w:rFonts w:ascii="Calibri" w:hAnsi="Calibri"/>
          <w:b/>
          <w:color w:val="6E8450"/>
          <w:sz w:val="18"/>
        </w:rPr>
        <w:t>19,700 Employees · https://www.principal.com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Principal delivered AUM growth of 16% in 2025 with non-affiliated gross sales growth of 18%, and Specialty Benefits operating margin expanded 170 bps through strong underwriting [1]. The company has steadily evolved from a life insurance company to a diversified financial services platform spanning retirement, asset management, and benefits. AI Deployment (1/2): CEO Deanna Strable mandated AI literacy training across the C-suite and rolled out the company's first-ever AI literacy program for all 19,700 employees; CIO Kathy Kay is balancing traditional AI (used for a decade in underwriting) with emerging GenAI capabilities, though no quantified revenue or cost savings from AI were reported [2]. Market Share (1/2): Principal is a meaningful player in workplace retirement ($500B+ in retirement AUM), ranking among the top retirement plan providers in the U.S., but trails Fidelity, Vanguard, and Empower in scale [1]. Pipeline (1/2): Workplace Savings recurring deposits grew 5% over 2024, and the company's 2026 EPS guidance of $9.01-$9.26 implies continued earnings growth, though revenue guidance suggests flat-to-modest top-line expansion [1]. R&amp;D Intensity (1/1): Principal invests significantly in technology infrastructure and digital tools for retirement plan participants and advisors, appropriate for a financial services firm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Principal's stated purpose — 'to make financial security accessible to all' — is specific, thoughtful, and connects the company's work to financial inclusion, a meaningful social cause [3]. This purpose has shaped strategic decisions over the company's 145-year history, including expansion into emerging markets and small business retirement plans. It differentiates from generic financial services competitors. Community Impact (2/2): Principal's ESG task force drives sustainability commitments including employee empowerment, financial inclusion initiatives, and a 40% U.S. carbon emissions reduction target by 2035 with net-zero by 2050 [4]. The company has launched diversity, inclusion, and environmental sustainability programs with specific targets. Employee Retention (1/2): Glassdoor rating of 3.9/5 across 2,800+ reviews with employees citing career development and culture as positives; CEO Strable's 35-year tenure (joined in 1990) exemplifies internal development, though senior leadership is cited as a negative in reviews [2]. Insider Buying (1/2): Insider transactions show stock award grants across multiple executives in March 2026, indicating equity alignment, but no meaningful open-market purchases were detected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Principal's financial infrastructure earns a strong score driven by exceptional dividend history and low leverage. D/E of 34.9% is well below the 70% target, reflecting conservative balance sheet management [5]. ROE of 10.5% is below the 15% target but reasonable for a diversified financial services company. Revenue of $15.6B in 2025 declined 3.7% YoY (partly due to investment income volatility), and the 3-year revenue CAGR of -3.8% drags the growth scores down [5]. Forward P/E of 9.5x is deeply discounted, scoring perfectly against the 20x target [1]. Profit margin of 7.6% is below the 20% target, reflecting the insurance and asset management business mix. Dividend metrics are excellent: 24+ consecutive years paid, 16 consecutive years of growth since the 2008 financial crisis cut, 5-year CAGR of 6.6% (above the 6% target), and a 58.7% payout ratio [5]. Liquidity floor easily cleared at $162M daily (1.7M avg vol x $95.73)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Principal Financial Group plays a moderately infinite game rooted in its 145-year history and purpose of making financial security accessible. CEO Strable's promotion from within after 35 years embodies long-term thinking, and the company's consistent dividend growth through market cycles demonstrates patient capital allocation. The AI literacy initiative and sustainability commitments show forward-looking investment, though the company operates in a competitive landscape that increasingly demands quarterly performance.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Principal's purpose — making financial security accessible to all — is genuine and has been validated by 145 years of serving retirement savers and businesses [3]. The company's expansion into financial inclusion and small business retirement reflects strategic alignment with this cause. However, the purpose, while genuine, is shared by many financial services firms and hasn't been tested by a transformative strategic pivot that proves it transcends the existing business model.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Strable's 35-year tenure at Principal (joining in 1990, rising through CFO to COO to CEO) demonstrates a promote-from-within culture that builds institutional trust [2]. Glassdoor's 3.9/5 rating with culture cited as a positive suggests adequate organizational health. However, 'senior leadership' is listed as a common negative in reviews, and no exceptional trust evidence (low turnover data, psychological safety examples)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Principal acknowledges larger competitors — Fidelity, Vanguard, Empower — as having scale advantages while using that competitive pressure to differentiate through workplace retirement expertise, specialty benefits, and international asset management [1]. The company's competitive language focuses on serving its niche rather than defeating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its 145-year history, Principal has evolved from a life insurance company to a diversified financial services platform spanning retirement, asset management, and benefits [3]. The recent pivot toward AI literacy and digital transformation represents incremental evolution. However, the company has not made a dramatic strategic shift — it has steadily expanded within adjacent financial services rather than fundamentally reinventing itself.</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Strable's mandated AI literacy program for all 19,700 employees demonstrates willingness to invest in long-term organizational capability even when the immediate ROI is uncertain [2]. Principal maintained and grew its dividend through the COVID-19 pandemic (from $2.24 in 2020 to $2.44 in 2021) when many financial services peers cut dividends, showing conviction in long-term capital return discipline. The company's 40% carbon reduction target by 2035 represents a resource commitment to sustainability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Principal Financial Group is a well-established financial services franchise trading at just 9.5x forward earnings with a 3.3% dividend yield backed by 16 consecutive years of dividend growth and a 145-year operating history [1][5]. AUM grew 16% in 2025 with non-affiliated gross sales up 18%, demonstrating the asset-gathering flywheel that drives fee revenue [1]. Adjusted EPS guidance of $9.01-$9.26 for 2026 implies continued earnings growth, and analyst estimates of $9.34 suggest upside to management's range [1]. Specialty Benefits margin expansion of 170 bps reflects underwriting discipline, and the company's proactive AI strategy under CEO Strable — including company-wide AI literacy training — positions Principal to leverage technology for cost efficiency [2]. At $95.73, the stock offers an attractive risk-adjusted total return through dividend income plus moderate earnings growth.</w:t>
      </w:r>
    </w:p>
    <w:p>
      <w:pPr>
        <w:spacing w:after="120"/>
      </w:pPr>
      <w:r>
        <w:rPr>
          <w:rFonts w:ascii="Calibri" w:hAnsi="Calibri"/>
          <w:b w:val="0"/>
          <w:color w:val="3A4A28"/>
          <w:sz w:val="20"/>
        </w:rPr>
        <w:t>The bear case focuses on revenue headwinds, competitive pressure, and margin compression. Full-year 2025 revenue declined 3.7% to $15.6B, and the 3-year revenue CAGR of -3.8% reflects investment income volatility and competitive pressures in retirement plan pricing [5]. The GAAP EPS decline of 40.9% in Q4 2025 (trailing PE of 18.2x vs. forward PE of 9.5x) highlights the gap between GAAP and operating earnings, creating potential confusion about true profitability. Profit margin of 7.6% is thin for a financial services company and reflects the insurance business's structural margin constraints [5]. AI-powered robo-advisors and automated retirement planning tools threaten to commoditize Principal's advisory services over time, and larger competitors (Fidelity, Vanguard) have deeper technology budgets [2]. Interest rate sensitivity affects both the investment portfolio and insurance liabilities. The company's DEI and ESG positioning has drawn political scrutiny in the current anti-ESG environment, creating headline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AUM growth momentum — 16% increase in 2025 with non-affiliated gross sales up 18% providing fee revenue tailwind into 2026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 company-wide AI literacy program under CEO Strable positions 19,700 employees to deploy AI tools for cost reduction and client service improvement [2]</w:t>
      </w:r>
    </w:p>
    <w:p>
      <w:pPr>
        <w:spacing w:before="40" w:after="40"/>
        <w:ind w:left="283"/>
      </w:pPr>
      <w:r>
        <w:rPr>
          <w:rFonts w:ascii="Calibri" w:hAnsi="Calibri"/>
          <w:b/>
          <w:color w:val="4A6B25"/>
          <w:sz w:val="20"/>
        </w:rPr>
        <w:t xml:space="preserve">3. </w:t>
      </w:r>
      <w:r>
        <w:rPr>
          <w:rFonts w:ascii="Calibri" w:hAnsi="Calibri"/>
          <w:b w:val="0"/>
          <w:color w:val="3A4A28"/>
          <w:sz w:val="20"/>
        </w:rPr>
        <w:t>Attractive valuation — forward P/E of 9.5x with 3.3% yield and 16-year dividend growth track record offers compelling total return at current prices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volatility — full-year 2025 revenue declined 3.7% and 3-year CAGR is -3.8%, reflecting investment income sensitivity and competitive pricing pressure in retirement plans [5]</w:t>
      </w:r>
    </w:p>
    <w:p>
      <w:pPr>
        <w:spacing w:before="40" w:after="40"/>
        <w:ind w:left="283"/>
      </w:pPr>
      <w:r>
        <w:rPr>
          <w:rFonts w:ascii="Calibri" w:hAnsi="Calibri"/>
          <w:b/>
          <w:color w:val="4A6B25"/>
          <w:sz w:val="20"/>
        </w:rPr>
        <w:t xml:space="preserve">2. </w:t>
      </w:r>
      <w:r>
        <w:rPr>
          <w:rFonts w:ascii="Calibri" w:hAnsi="Calibri"/>
          <w:b w:val="0"/>
          <w:color w:val="3A4A28"/>
          <w:sz w:val="20"/>
        </w:rPr>
        <w:t>AI disruption of advisory services — robo-advisors and automated retirement planning tools threaten to commoditize workplace retirement advisory, where Principal generates significant fees [2]</w:t>
      </w:r>
    </w:p>
    <w:p>
      <w:pPr>
        <w:spacing w:before="40" w:after="40"/>
        <w:ind w:left="283"/>
      </w:pPr>
      <w:r>
        <w:rPr>
          <w:rFonts w:ascii="Calibri" w:hAnsi="Calibri"/>
          <w:b/>
          <w:color w:val="4A6B25"/>
          <w:sz w:val="20"/>
        </w:rPr>
        <w:t xml:space="preserve">3. </w:t>
      </w:r>
      <w:r>
        <w:rPr>
          <w:rFonts w:ascii="Calibri" w:hAnsi="Calibri"/>
          <w:b w:val="0"/>
          <w:color w:val="3A4A28"/>
          <w:sz w:val="20"/>
        </w:rPr>
        <w:t>Thin profit margins — 7.6% GAAP profit margin leaves little buffer for underwriting losses, market downturns, or competitive fee compression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Principal's core businesses face differentiated AI exposure [1][2]. The retirement plan administration and asset management segments face moderate risk — AI-powered robo-advisors and automated retirement planning tools could commoditize some advisory services, and AI is enabling lower-cost competitors to offer similar investment management at reduced fees. However, Principal's deep relationships with employers (workplace retirement plans require complex integration and compliance), regulatory barriers in insurance (Benefits and Protection), and long-term client relationships create meaningful switching costs that AI alone cannot overcome. The company's proactive AI literacy program under CEO Strable suggests awareness of the threat [2]. AI Opportunity (1/1): Principal has deployed traditional AI in underwriting for a decade and is expanding GenAI capabilities under CIO Kathy Kay, with company-wide AI literacy training launched in 2025, though quantified AI revenue is not yet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Principal Financial Group Q4 2025 and Full-Year Results, 2026 Outlook, investors.principal.com, February 2026</w:t>
      </w:r>
    </w:p>
    <w:p>
      <w:pPr>
        <w:spacing w:before="20" w:after="20"/>
        <w:ind w:left="170"/>
      </w:pPr>
      <w:r>
        <w:rPr>
          <w:rFonts w:ascii="Calibri" w:hAnsi="Calibri"/>
          <w:b/>
          <w:color w:val="4A6B25"/>
          <w:sz w:val="15"/>
        </w:rPr>
        <w:t xml:space="preserve">2. </w:t>
      </w:r>
      <w:r>
        <w:rPr>
          <w:rFonts w:ascii="Calibri" w:hAnsi="Calibri"/>
          <w:b w:val="0"/>
          <w:color w:val="3A4A28"/>
          <w:sz w:val="17"/>
        </w:rPr>
        <w:t>Fortune — How Principal Financial's New CEO Brought AI Religion to the C-Suite, November 2025; CIO — Principal Financial CIO Kathy Kay on AI Strategy</w:t>
      </w:r>
    </w:p>
    <w:p>
      <w:pPr>
        <w:spacing w:before="20" w:after="20"/>
        <w:ind w:left="170"/>
      </w:pPr>
      <w:r>
        <w:rPr>
          <w:rFonts w:ascii="Calibri" w:hAnsi="Calibri"/>
          <w:b/>
          <w:color w:val="4A6B25"/>
          <w:sz w:val="15"/>
        </w:rPr>
        <w:t xml:space="preserve">3. </w:t>
      </w:r>
      <w:r>
        <w:rPr>
          <w:rFonts w:ascii="Calibri" w:hAnsi="Calibri"/>
          <w:b w:val="0"/>
          <w:color w:val="3A4A28"/>
          <w:sz w:val="17"/>
        </w:rPr>
        <w:t>Principal Financial Group Leadership and About pages, principal.com,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Principal Financial Group Sustainability Strategy and ESG Task Force, principal.com; ESG Today — Principal DI&amp;E Sustainability Initiatives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PFG,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