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PFLT</w:t>
      </w:r>
      <w:r>
        <w:rPr>
          <w:rFonts w:ascii="Calibri" w:hAnsi="Calibri"/>
          <w:b/>
          <w:color w:val="1A2010"/>
          <w:sz w:val="40"/>
        </w:rPr>
        <w:t xml:space="preserve">  PennantPark Floating Rate Capital Ltd.</w:t>
      </w:r>
    </w:p>
    <w:p>
      <w:pPr>
        <w:spacing w:after="120"/>
      </w:pPr>
      <w:r>
        <w:rPr>
          <w:rFonts w:ascii="Calibri" w:hAnsi="Calibri"/>
          <w:b/>
          <w:color w:val="6E8450"/>
          <w:sz w:val="18"/>
        </w:rPr>
        <w:t>DIVIDEND SLEEVE · 2026-05-02 · Inspire: 26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PennantPark Floating Rate Capital is a business development company (BDC) that primarily invests in first lien senior secured debt of U.S. middle market companies. The company provides floating rate loans to companies with strong cash flow, competitive market positions, and growth potential.</w:t>
      </w:r>
    </w:p>
    <w:p>
      <w:r>
        <w:rPr>
          <w:rFonts w:ascii="Calibri" w:hAnsi="Calibri"/>
          <w:b/>
          <w:color w:val="6E8450"/>
          <w:sz w:val="18"/>
        </w:rPr>
        <w:t>100 Employees · https://pflt.pennantpark.com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BDC focused on floating rate first lien lending, PFLT operates a well-understood financial model with limited innovation differentiation [1]. The company completed a $356.5M securitization reset that substantially reduced borrowing costs, demonstrating financial engineering competence [2]. However, the business model is commoditized — dozens of competing BDCs offer similar middle market lending products with no proprietary technology or unique market access.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 and CEO Arthur Penn brings over 30 years of financial services experience, and PennantPark emphasizes a collaborative teamwork culture with competitive compensation [3]. The firm's mission centers on being a 'solutions partner' for middle market companies, providing growth capital where banks have retreated [3]. However, this is a standard BDC value proposition with no distinctive cultural differentiator or employee engagement data available publicly.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FY2025 revenue grew 40.3% to $261.4M, though net income declined 27.8% as credit costs increased [1]. The 171% dividend payout ratio is concerning — PFLT pays more in dividends than it earns, which is unsustainable long-term [4]. D/E of 156.9% is typical for leveraged BDCs. Forward P/E of 7.75 and ROE of 3.4% suggest below-average returns. Liquidity floor easily met: 1.15M avg volume × $9.07 = $10.4M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PennantPark demonstrates steady commitment to middle market lending since 2011 but operates with finite-game metrics pressures — the 171% payout ratio prioritizes current income distribution over balance sheet resilience, and the BDC structure mandates distributing 90%+ of income to maintain tax status.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Providing growth capital to middle market companies fills a genuine market gap left by bank consolidation, enabling job creation and business expansion [3]. However, this is primarily a financial returns vehicle rather than a mission-driven enterprise — the BDC structure inherently prioritizes income distribution to shareholders over any broader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PennantPark's senior investment professionals average over 30 years of industry experience, suggesting deep institutional knowledge and stability [3]. The collaborative culture emphasis and competitive compensation indicate investment in talent retention, though no Glassdoor data is available to verify employee sentiment independently.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PFLT competes against major BDCs including Ares Capital, Golub Capital, and Blue Owl, and appears to acknowledge competitive positioning through its focus on first lien floating rate specialization rather than pursuing riskier subordinated debt [1]. Differentiation is modest — primarily loan size and sector focus.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$250M asset portfolio acquisition demonstrates willingness to scale opportunistically [2]. The securitization reset to reduce borrowing costs shows financial adaptation. However, the BDC regulatory structure constrains strategic flexibility — the company cannot meaningfully pivot its business model without losing tax-advantaged status.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Maintaining monthly dividend payments through market cycles demonstrates commitment to shareholders, though the 171% payout ratio raises questions about whether this represents courage or unsustainable short-termism [4]. Management has not demonstrated bold strategic moves that differentiate PFLT from the BDC peer group.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PennantPark Floating Rate Capital offers a 14.25% dividend yield through monthly distributions backed by a portfolio of first lien floating rate loans to middle market companies. The floating rate structure provides natural protection against interest rate declines (loans reprice lower, reducing income) while the first lien positioning limits credit losses in a downturn.</w:t>
      </w:r>
    </w:p>
    <w:p>
      <w:pPr>
        <w:spacing w:after="120"/>
      </w:pPr>
      <w:r>
        <w:rPr>
          <w:rFonts w:ascii="Calibri" w:hAnsi="Calibri"/>
          <w:b w:val="0"/>
          <w:color w:val="3A4A28"/>
          <w:sz w:val="20"/>
        </w:rPr>
        <w:t>The critical concern is dividend sustainability — the 171% payout ratio means PFLT is distributing more than current earnings, relying on unrealized gains or return of capital to fund distributions. Net income declined 27.8% YoY despite 40% revenue growth, indicating deteriorating portfolio credit quality or rising funding costs. The 23% discount to NAV noted by analysts suggests the market is pricing in potential dividend cuts or credit deterioration ahead.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Declining interest rates could stabilize credit quality across the middle market portfolio, reducing non-accruals</w:t>
      </w:r>
    </w:p>
    <w:p>
      <w:pPr>
        <w:spacing w:before="40" w:after="40"/>
        <w:ind w:left="283"/>
      </w:pPr>
      <w:r>
        <w:rPr>
          <w:rFonts w:ascii="Calibri" w:hAnsi="Calibri"/>
          <w:b/>
          <w:color w:val="4A6B25"/>
          <w:sz w:val="20"/>
        </w:rPr>
        <w:t xml:space="preserve">2. </w:t>
      </w:r>
      <w:r>
        <w:rPr>
          <w:rFonts w:ascii="Calibri" w:hAnsi="Calibri"/>
          <w:b w:val="0"/>
          <w:color w:val="3A4A28"/>
          <w:sz w:val="20"/>
        </w:rPr>
        <w:t>Securitization reset completed — reduced borrowing costs should improve net interest margin in coming quarters</w:t>
      </w:r>
    </w:p>
    <w:p>
      <w:pPr>
        <w:spacing w:before="40" w:after="40"/>
        <w:ind w:left="283"/>
      </w:pPr>
      <w:r>
        <w:rPr>
          <w:rFonts w:ascii="Calibri" w:hAnsi="Calibri"/>
          <w:b/>
          <w:color w:val="4A6B25"/>
          <w:sz w:val="20"/>
        </w:rPr>
        <w:t xml:space="preserve">3. </w:t>
      </w:r>
      <w:r>
        <w:rPr>
          <w:rFonts w:ascii="Calibri" w:hAnsi="Calibri"/>
          <w:b w:val="0"/>
          <w:color w:val="3A4A28"/>
          <w:sz w:val="20"/>
        </w:rPr>
        <w:t>Forecast EPS of $1.21 for FY2026 (89% growth) could restore dividend coverage if realized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171% dividend payout ratio is unsustainable — a dividend cut would likely trigger significant share price decline</w:t>
      </w:r>
    </w:p>
    <w:p>
      <w:pPr>
        <w:spacing w:before="40" w:after="40"/>
        <w:ind w:left="283"/>
      </w:pPr>
      <w:r>
        <w:rPr>
          <w:rFonts w:ascii="Calibri" w:hAnsi="Calibri"/>
          <w:b/>
          <w:color w:val="4A6B25"/>
          <w:sz w:val="20"/>
        </w:rPr>
        <w:t xml:space="preserve">2. </w:t>
      </w:r>
      <w:r>
        <w:rPr>
          <w:rFonts w:ascii="Calibri" w:hAnsi="Calibri"/>
          <w:b w:val="0"/>
          <w:color w:val="3A4A28"/>
          <w:sz w:val="20"/>
        </w:rPr>
        <w:t>Rising credit losses in middle market as economic conditions tighten could impair portfolio NAV</w:t>
      </w:r>
    </w:p>
    <w:p>
      <w:pPr>
        <w:spacing w:before="40" w:after="40"/>
        <w:ind w:left="283"/>
      </w:pPr>
      <w:r>
        <w:rPr>
          <w:rFonts w:ascii="Calibri" w:hAnsi="Calibri"/>
          <w:b/>
          <w:color w:val="4A6B25"/>
          <w:sz w:val="20"/>
        </w:rPr>
        <w:t xml:space="preserve">3. </w:t>
      </w:r>
      <w:r>
        <w:rPr>
          <w:rFonts w:ascii="Calibri" w:hAnsi="Calibri"/>
          <w:b w:val="0"/>
          <w:color w:val="3A4A28"/>
          <w:sz w:val="20"/>
        </w:rPr>
        <w:t>High leverage (157% D/E) amplifies losses in a credit downturn and limits financial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Middle market lending is relationship-driven with limited near-term AI disruption risk — borrower evaluation requires qualitative judgment about management teams, industry dynamics, and covenant structures [3]. AI may enhance credit underwriting models and portfolio monitoring over time, but cannot replace the relationship-based origination that drives deal flow. Risk: fintech lenders using AI-driven underwriting could compress margins in larger deals, though PFLT's $10-50M loan sweet spot remains less attractive to tech-enabled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PennantPark Floating Rate Capital Q1 FY2026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PennantPark Floating Rate Capital $356.5M Securitization Reset and $250M Portfolio Acquisition Announcements, 2025-2026</w:t>
      </w:r>
    </w:p>
    <w:p>
      <w:pPr>
        <w:spacing w:before="20" w:after="20"/>
        <w:ind w:left="170"/>
      </w:pPr>
      <w:r>
        <w:rPr>
          <w:rFonts w:ascii="Calibri" w:hAnsi="Calibri"/>
          <w:b/>
          <w:color w:val="4A6B25"/>
          <w:sz w:val="15"/>
        </w:rPr>
        <w:t xml:space="preserve">3. </w:t>
      </w:r>
      <w:r>
        <w:rPr>
          <w:rFonts w:ascii="Calibri" w:hAnsi="Calibri"/>
          <w:b w:val="0"/>
          <w:color w:val="3A4A28"/>
          <w:sz w:val="17"/>
        </w:rPr>
        <w:t>PennantPark Corporate Website — About and Team pages,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24/7 Wall St. — 'PennantPark Floating Rate Capital Is Paying Out 171% of Earnings', February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PFLT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