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PGR</w:t>
      </w:r>
      <w:r>
        <w:rPr>
          <w:rFonts w:ascii="Calibri" w:hAnsi="Calibri"/>
          <w:b/>
          <w:color w:val="1A2010"/>
          <w:sz w:val="40"/>
        </w:rPr>
        <w:t xml:space="preserve">  The Progressive Corporation</w:t>
      </w:r>
    </w:p>
    <w:p>
      <w:pPr>
        <w:spacing w:after="120"/>
      </w:pPr>
      <w:r>
        <w:rPr>
          <w:rFonts w:ascii="Calibri" w:hAnsi="Calibri"/>
          <w:b/>
          <w:color w:val="6E8450"/>
          <w:sz w:val="18"/>
        </w:rPr>
        <w:t>GROWTH SLEEVE · 2026-04-07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The Progressive Corporation is the third-largest auto insurer in the United States with ~18.5% private passenger auto market share. The company writes personal auto, special lines (motorcycles, RVs, watercraft), homeowners, renters, commercial auto, and small business insurance. Progressive is known for its data-driven pricing, Snapshot telematics program, and direct-to-consumer distribution model. Founded in 1937 and headquartered in Mayfield, Ohio.</w:t>
      </w:r>
    </w:p>
    <w:p>
      <w:r>
        <w:rPr>
          <w:rFonts w:ascii="Calibri" w:hAnsi="Calibri"/>
          <w:b/>
          <w:color w:val="6E8450"/>
          <w:sz w:val="18"/>
        </w:rPr>
        <w:t>70,053 Employees · https://www.progressive.com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Progressive added nearly $9B in net premiums written and 3.7M policies in force in 2025, gaining ~2 points of private passenger auto market share to ~18.5% [1]. Revenue surged 16% YoY to $87.7B with net income up 33% to $11.3B — a transformative growth trajectory that has doubled revenue from $49.6B in 2022. AI Deployment (2/2): Progressive's Snapshot telematics program uses AI/ML for usage-based pricing, and the company leverages AI across claims processing, underwriting, fraud detection, and customer service — measurable operational efficiency gains at scale [2]. Market Share (2/2): Progressive is the third-largest auto insurer in the US and the fastest share gainer, adding ~2 points of market share in 2025 to reach ~18.5% — the company is actively taking share from State Farm and Geico through superior pricing and digital distribution [1]. Pipeline (0/2): Insurance is a mature industry without traditional product pipeline visibility; Progressive's growth comes from market share gains and geographic expansion rather than new product launches. R&amp;D Intensity (1/1): Progressive invests heavily in data science, telematics, and technology relative to insurance peers, with AI/ML capabilities embedded throughout the organization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Progressive's mission focuses on making auto insurance accessible, affordable, and easy to understand — clear but not transformative, as it's a functional description of the business rather than an aspirational vision of a better future [2]. Community Impact (1/2): Progressive employs 70,053 people and CEO Griffith launched the company's inaugural D&amp;I program in 2007, establishing employee resource groups including the Progressive African American Network and LGBT Plus [2]. Specific charitable dollar amounts were not found. Employee Retention (2/2): CEO Tricia Griffith joined Progressive as a claims representative in 1988 and rose to CEO in 2016 — a 38-year tenure exemplifying the promote-from-within culture [2]. Her emphasis on empathy and understanding in leadership suggests strong organizational loyalty, and the company's 70,053-person workforce demonstrates scalable culture. Insider Buying (1/2): Griffith's 38-year tenure and equity compensation represent significant alignment, though specific net insider buying data for the last 12 months was not confirmed.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Progressive's financial profile is exceptional across nearly every metric. Revenue of $87.7B (16.3% YoY growth) with $11.3B net income (33% growth) demonstrates pricing power and operational leverage [1]. ROE of 40.4% is outstanding, driven by underwriting profitability with a combined ratio below 90 in 2025 [1]. D/E of 23.4% is conservative for an insurance company. Forward P/E of 12.2x is cheap for a company growing premiums 16%+ with 40% ROE. Profit margin of 12.9% is strong for P&amp;C insurance. Revenue 3yr CAGR of ~21% ($49.6B in 2022 to $87.7B in 2025) reflects accelerating market share gains [4]. PEG ratio unavailable (excluded). Infrastructure calculated: D/E 23.4% (1.0, 1x), ROE 40.4% (1.0, 2x), Rev Growth YoY 12.2% (1.0, 1x), Rev Growth 5yr CAGR ~21% (1.0, 2x), Forward P/E 12.2 (1.0, 1x), Profit Margin 12.9% (0.645, 1x). Weighted sum = 1+2+1+2+1+0.645 = 7.645/8 = 0.956 x 10 = 9.6, rounds to 10. Liquidity floor easily cleared: 3.44M avg vol x $196.38 = $675.6M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Progressive under CEO Tricia Griffith demonstrates strong infinite-game characteristics — the company has maintained its 'grow as fast as we can at 96 or better combined ratio' philosophy through multiple insurance cycles, investing in market share during periods when competitors retreated. Griffith's 38-year tenure from claims representative to CEO embodies the promote-from-within culture that builds institutional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Progressive's cause — making insurance accessible and affordable through data-driven pricing innovation — has been consistently executed since the company pioneered usage-based pricing [2]. The 'grow as fast as we can at 96 or better' combined ratio target represents a clear, enduring strategic principle that survived multiple CEO transitions and insurance cycles. However, the cause lacks the transformative aspiration of companies like NVDA — it's more operational excellence than world-changing vision.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Progressive's promote-from-within culture is validated by CEO Griffith's 38-year journey from claims rep to CEO [2]. The company employs 70,053 people with a leadership culture emphasizing empathy and transparency. Griffith's launch of D&amp;I programs in 2007 and her public emphasis on 'uncomfortable discussions' suggests psychological safety. The ability to add 3.7M policies and $9B in premiums in a single year requires high-trust organizational execution across thousands of employees.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Progressive explicitly acknowledges competitive dynamics with State Farm and Geico, using competitive pressure to improve its own pricing, distribution, and technology capabilities [1]. The company's focus on gaining market share through better data science and customer experience rather than price wars demonstrates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Progressive has evolved from a niche auto insurer to the third-largest US auto insurer, expanded into homeowners, renters, and commercial insurance, and pioneered telematics-based pricing (Snapshot) [2]. These represent meaningful strategic evolution over decades, though the core business model — underwriting auto insurance — has remained consistent since 1937. The company is currently de-risking its property portfolio in Florida, showing adaptive risk management.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Progressive's commitment to growing at a 96 combined ratio target means walking away from underpriced business that competitors write — a courageous stance in an industry where market share often trumps profitability [1]. The Florida property de-risking (three rate decreases with a $1.2B policyholder credit) shows willingness to sacrifice near-term revenue for long-term portfolio quality. Griffith's public advocacy for diversity in a conservative insurance industry demonstrates principled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Progressive is the best-in-class US auto insurer, delivering exceptional growth and profitability simultaneously — $87.7B revenue (16% YoY), $11.3B net income (33% YoY), 40% ROE, and combined ratio below 90 in 2025 [1]. The company gained ~2 points of market share to ~18.5% of private passenger auto by adding 3.7M policies and $9B in net premiums written, demonstrating that its data-driven pricing and direct distribution model are structurally superior to legacy competitors [1]. At 12.2x forward P/E with 40% ROE and 16%+ revenue growth, Progressive is remarkably cheap for a company of this quality. CEO Griffith's 'grow as fast as we can at 96 or better' discipline provides both upside optionality and downside protection. The $10.1B cash position and $17.5B operating cash flow provide massive financial flexibility [4].</w:t>
      </w:r>
    </w:p>
    <w:p>
      <w:pPr>
        <w:spacing w:after="120"/>
      </w:pPr>
      <w:r>
        <w:rPr>
          <w:rFonts w:ascii="Calibri" w:hAnsi="Calibri"/>
          <w:b w:val="0"/>
          <w:color w:val="3A4A28"/>
          <w:sz w:val="20"/>
        </w:rPr>
        <w:t>The bear case focuses on cyclical risk and growth sustainability. The sub-90 combined ratio in 2025 was boosted by favorable loss trends and rate increases that may not sustain — a return to competitive pricing or elevated catastrophe losses could compress margins [1]. The Florida property portfolio remains a sore spot, with $1.2B in policyholder credits reflecting adverse market conditions. Revenue growth of 16% is partially driven by rate increases rather than pure volume — if rate adequacy is achieved, premium growth could decelerate significantly. Progressive's high dividend payout (72.3% payout ratio including special dividends) is inconsistent, creating income uncertainty for dividend-focused investors. The long-term threat from autonomous vehicles reducing accident frequency could structurally shrink the auto insurance market, though this remains a 10+ year risk. The stock's beta of 0.33 limits upside in bull markets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market share gains beyond 18.5% in private passenger auto — Progressive's data-driven pricing advantage widens as competitors lag in telematics and AI adoption [1]</w:t>
      </w:r>
    </w:p>
    <w:p>
      <w:pPr>
        <w:spacing w:before="40" w:after="40"/>
        <w:ind w:left="283"/>
      </w:pPr>
      <w:r>
        <w:rPr>
          <w:rFonts w:ascii="Calibri" w:hAnsi="Calibri"/>
          <w:b/>
          <w:color w:val="4A6B25"/>
          <w:sz w:val="20"/>
        </w:rPr>
        <w:t xml:space="preserve">2. </w:t>
      </w:r>
      <w:r>
        <w:rPr>
          <w:rFonts w:ascii="Calibri" w:hAnsi="Calibri"/>
          <w:b w:val="0"/>
          <w:color w:val="3A4A28"/>
          <w:sz w:val="20"/>
        </w:rPr>
        <w:t>Sustained sub-90 combined ratio generating excess capital for special dividends and accelerated growth investment [1]</w:t>
      </w:r>
    </w:p>
    <w:p>
      <w:pPr>
        <w:spacing w:before="40" w:after="40"/>
        <w:ind w:left="283"/>
      </w:pPr>
      <w:r>
        <w:rPr>
          <w:rFonts w:ascii="Calibri" w:hAnsi="Calibri"/>
          <w:b/>
          <w:color w:val="4A6B25"/>
          <w:sz w:val="20"/>
        </w:rPr>
        <w:t xml:space="preserve">3. </w:t>
      </w:r>
      <w:r>
        <w:rPr>
          <w:rFonts w:ascii="Calibri" w:hAnsi="Calibri"/>
          <w:b w:val="0"/>
          <w:color w:val="3A4A28"/>
          <w:sz w:val="20"/>
        </w:rPr>
        <w:t>Commercial insurance and property expansion into addressable markets beyond auto, leveraging the existing distribution infrastructure and data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Combined ratio normalization — the exceptional sub-90 performance in 2025 may revert toward the 96 target as favorable loss trends moderate and competitive pricing returns [1]</w:t>
      </w:r>
    </w:p>
    <w:p>
      <w:pPr>
        <w:spacing w:before="40" w:after="40"/>
        <w:ind w:left="283"/>
      </w:pPr>
      <w:r>
        <w:rPr>
          <w:rFonts w:ascii="Calibri" w:hAnsi="Calibri"/>
          <w:b/>
          <w:color w:val="4A6B25"/>
          <w:sz w:val="20"/>
        </w:rPr>
        <w:t xml:space="preserve">2. </w:t>
      </w:r>
      <w:r>
        <w:rPr>
          <w:rFonts w:ascii="Calibri" w:hAnsi="Calibri"/>
          <w:b w:val="0"/>
          <w:color w:val="3A4A28"/>
          <w:sz w:val="20"/>
        </w:rPr>
        <w:t>Catastrophe loss exposure — climate-related weather events could drive property insurance losses, particularly in the Florida portfolio where Progressive is de-risking [1]</w:t>
      </w:r>
    </w:p>
    <w:p>
      <w:pPr>
        <w:spacing w:before="40" w:after="40"/>
        <w:ind w:left="283"/>
      </w:pPr>
      <w:r>
        <w:rPr>
          <w:rFonts w:ascii="Calibri" w:hAnsi="Calibri"/>
          <w:b/>
          <w:color w:val="4A6B25"/>
          <w:sz w:val="20"/>
        </w:rPr>
        <w:t xml:space="preserve">3. </w:t>
      </w:r>
      <w:r>
        <w:rPr>
          <w:rFonts w:ascii="Calibri" w:hAnsi="Calibri"/>
          <w:b w:val="0"/>
          <w:color w:val="3A4A28"/>
          <w:sz w:val="20"/>
        </w:rPr>
        <w:t>Long-term autonomous vehicle risk — widespread ADAS and self-driving technology could reduce accident frequency, structurally shrinking the auto insurance premium pool over 10+ years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Progressive's core business — underwriting and pricing auto insurance risk — requires regulatory compliance, state-by-state filings, claims investigation involving physical vehicle inspections, and actuarial expertise that AI cannot fully replace [2]. However, AI is transforming insurance pricing, claims processing, and customer acquisition, creating competitive pressure from insurtech startups and tech companies entering the space. Progressive's data-driven DNA (Snapshot telematics, AI underwriting) positions it as an AI adopter rather than victim, but the industry faces moderate disruption risk from autonomous vehicles reducing accident frequency long-term. AI Opportunity (1/1): Progressive actively deploys AI across telematics pricing (Snapshot), claims automation, fraud detection, and underwriting optimization — these generate measurable revenue through better risk selection and operational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Progressive Corporation Q4 2025 Earnings — $87.7B revenue, $11.3B net income, 40% ROE, 3.7M policy adds, ~18.5% market share, January 2026</w:t>
      </w:r>
    </w:p>
    <w:p>
      <w:pPr>
        <w:spacing w:before="20" w:after="20"/>
        <w:ind w:left="170"/>
      </w:pPr>
      <w:r>
        <w:rPr>
          <w:rFonts w:ascii="Calibri" w:hAnsi="Calibri"/>
          <w:b/>
          <w:color w:val="4A6B25"/>
          <w:sz w:val="15"/>
        </w:rPr>
        <w:t xml:space="preserve">2. </w:t>
      </w:r>
      <w:r>
        <w:rPr>
          <w:rFonts w:ascii="Calibri" w:hAnsi="Calibri"/>
          <w:b w:val="0"/>
          <w:color w:val="3A4A28"/>
          <w:sz w:val="17"/>
        </w:rPr>
        <w:t>Progressive Corporation leadership — CEO Tricia Griffith profile, culture, AI/telematics innovation, D&amp;I programs</w:t>
      </w:r>
    </w:p>
    <w:p>
      <w:pPr>
        <w:spacing w:before="20" w:after="20"/>
        <w:ind w:left="170"/>
      </w:pPr>
      <w:r>
        <w:rPr>
          <w:rFonts w:ascii="Calibri" w:hAnsi="Calibri"/>
          <w:b/>
          <w:color w:val="4A6B25"/>
          <w:sz w:val="15"/>
        </w:rPr>
        <w:t xml:space="preserve">3. </w:t>
      </w:r>
      <w:r>
        <w:rPr>
          <w:rFonts w:ascii="Calibri" w:hAnsi="Calibri"/>
          <w:b w:val="0"/>
          <w:color w:val="3A4A28"/>
          <w:sz w:val="17"/>
        </w:rPr>
        <w:t>Progressive Corporation Sustainability Report 2024 — ESG activities and corporate responsibility</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PGR (The Progressive Corporation),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