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w:t>
      </w:r>
      <w:r>
        <w:rPr>
          <w:rFonts w:ascii="Calibri" w:hAnsi="Calibri"/>
          <w:b/>
          <w:color w:val="1A2010"/>
          <w:sz w:val="40"/>
        </w:rPr>
        <w:t xml:space="preserve">  The Procter &amp; Gamble Company</w:t>
      </w:r>
    </w:p>
    <w:p>
      <w:pPr>
        <w:spacing w:after="120"/>
      </w:pPr>
      <w:r>
        <w:rPr>
          <w:rFonts w:ascii="Calibri" w:hAnsi="Calibri"/>
          <w:b/>
          <w:color w:val="6E8450"/>
          <w:sz w:val="18"/>
        </w:rPr>
        <w:t>DIVIDEND SLEEVE · 2026-03-27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Procter &amp; Gamble Company is a global consumer goods conglomerate operating across five segments: Beauty, Grooming, Health Care, Fabric &amp; Home Care, and Baby/Feminine/Family Care. P&amp;G owns iconic brands including Tide, Pampers, Gillette, Crest, and Olay, selling products in approximately 180 countries.</w:t>
      </w:r>
    </w:p>
    <w:p>
      <w:r>
        <w:rPr>
          <w:rFonts w:ascii="Calibri" w:hAnsi="Calibri"/>
          <w:b/>
          <w:color w:val="6E8450"/>
          <w:sz w:val="18"/>
        </w:rPr>
        <w:t>109,000 Employees · https://www.pginvestor.com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 has embraced 'constructive disruption' as its innovation philosophy, deploying AI across product development, consumer insights, and supply chain optimization with an estimated $1.1B annual ICT budget [1]. The company built 'chatPG' (internal generative AI agent) and 'Project Genie' (real-time Voice of Consumer analytics), and new CEO Jejurikar's Supply Chain 3.0 initiative leverages digitization and automation to reduce waste [2]. However, core product innovation in consumer staples is inherently incremental rather than transformative.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P&amp;G's leadership transition to CEO Shailesh Jejurikar (January 2026) — a 36-year internal veteran — signals deep bench strength and cultural continuity, with a 41% promotion rate among leadership development program graduates [2]. The company's plan to return $15B to shareholders in FY2026 through dividends and buybacks demonstrates confidence. The proposed 15% non-manufacturing job reduction (7,000 roles) is framed as resource reallocation to AI-driven R&amp;D, though it creates short-term morale risk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 demonstrates exceptional financial discipline as a Dividend King with 68 consecutive years of dividend increases, a manageable D/E of 68.7%, outstanding ROE of 31.6%, and near-target profit margins of 19.3% [3]. The forward P/E of 19.4x is reasonable for a defensive mega-cap. Revenue growth is modest at 1.5% YoY and 1.7% CAGR, reflecting the mature consumer staples sector, but the 62% payout ratio is sustainable and the $15B shareholder return plan provides compelling total return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P&amp;G demonstrates strong infinite-game characteristics through its 189-year operating history, 68 consecutive years of dividend increases, and internal leadership pipeline that promotes from within. The company's patient brand-building approach and multi-decade investment horizons reflect genuine long-term thinking, though the 7,000-job restructuring and short-term earnings decline suggest periodic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P&amp;G's mission to provide 'branded consumer products of superior quality and value' to improve daily lives is modest but authentic and sustained across nearly two centuries of operations. The company's commitment to sustainability (2040 net zero target) and community investment programs add purpose beyond profit, though the just cause is evolutionary rather than revolutionary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P&amp;G's promote-from-within culture is legendary — new CEO Jejurikar spent 36 years at the company, and the 41% leadership program promotion rate suggests genuine investment in talent development [2]. However, the proposed 7,000-job restructuring (15% of non-manufacturing roles) creates trust tension, even when framed as reallocation toward AI-driven growth.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 actively studies and responds to Unilever, Colgate-Palmolive, Henkel, and increasingly private label competitors. The company's 'constructive disruption' philosophy explicitly acknowledges competitive threats and seeks to preempt them through innovation and AI adoption rather than merely defending market share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 demonstrated existential flexibility in its 2014-2017 brand portfolio reduction from 170+ brands to ~65, divesting underperforming categories to focus on core strengths. The current AI-driven restructuring and Supply Chain 3.0 represent continued willingness to transform operations, and the leadership transition to Jejurikar was executed seamlessly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P&amp;G has shown courage in investing heavily in AI and digital transformation while competitors hesitate, and the 7,000-job restructuring demonstrates willingness to make unpopular decisions for long-term competitiveness [2]. However, the company's approach to innovation is generally conservative and incremental rather than bold, consistent with its defensive sector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P&amp;G represents the quintessential defensive quality compounder: 68 consecutive years of dividend increases, 31.6% ROE, near-20% profit margins, and a forward P/E of 19.4x that is reasonable for a consumer staples mega-cap [3]. The new CEO Jejurikar brings continuity with fresh energy, and the AI-driven restructuring targeting $1-1.6B in annual savings by 2026 provides a clear margin expansion pathway [2]. The $15B annual shareholder return program (dividends + buybacks) delivers compelling total return, and P&amp;G's global brand portfolio with pricing power provides inflation protection. International expansion and premiumization in emerging markets offer a low-single-digit organic growth floor.</w:t>
      </w:r>
    </w:p>
    <w:p>
      <w:pPr>
        <w:spacing w:after="120"/>
      </w:pPr>
      <w:r>
        <w:rPr>
          <w:rFonts w:ascii="Calibri" w:hAnsi="Calibri"/>
          <w:b w:val="0"/>
          <w:color w:val="3A4A28"/>
          <w:sz w:val="20"/>
        </w:rPr>
        <w:t>The bear case centers on P&amp;G's anemic revenue growth — just 1.5% YoY and 1.7% CAGR — which limits total return potential in a low-inflation environment and makes the ~21x trailing P/E look expensive for a company with declining EPS (-5.4% YoY) [3]. The 7,000-job restructuring introduces execution risk and potential talent loss, while private label competition continues to gain share in key categories as consumer trade-down persists in a slowing economy. Currency headwinds from a strong dollar pressure international earnings (60%+ of sales), and the mature consumer staples sector offers limited upside optionality. At $333B market cap, the stock is priced for perfection with little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restructuring achieving $1-1.6B in annual savings by FY2026, expanding operating margins 100-200 basis points and offsetting commodity cost inflation [2]</w:t>
      </w:r>
    </w:p>
    <w:p>
      <w:pPr>
        <w:spacing w:before="40" w:after="40"/>
        <w:ind w:left="283"/>
      </w:pPr>
      <w:r>
        <w:rPr>
          <w:rFonts w:ascii="Calibri" w:hAnsi="Calibri"/>
          <w:b/>
          <w:color w:val="4A6B25"/>
          <w:sz w:val="20"/>
        </w:rPr>
        <w:t xml:space="preserve">2. </w:t>
      </w:r>
      <w:r>
        <w:rPr>
          <w:rFonts w:ascii="Calibri" w:hAnsi="Calibri"/>
          <w:b w:val="0"/>
          <w:color w:val="3A4A28"/>
          <w:sz w:val="20"/>
        </w:rPr>
        <w:t>New CEO Jejurikar accelerating digital transformation and Supply Chain 3.0 initiatives, potentially unlocking incremental productivity gains and innovation speed</w:t>
      </w:r>
    </w:p>
    <w:p>
      <w:pPr>
        <w:spacing w:before="40" w:after="40"/>
        <w:ind w:left="283"/>
      </w:pPr>
      <w:r>
        <w:rPr>
          <w:rFonts w:ascii="Calibri" w:hAnsi="Calibri"/>
          <w:b/>
          <w:color w:val="4A6B25"/>
          <w:sz w:val="20"/>
        </w:rPr>
        <w:t xml:space="preserve">3. </w:t>
      </w:r>
      <w:r>
        <w:rPr>
          <w:rFonts w:ascii="Calibri" w:hAnsi="Calibri"/>
          <w:b w:val="0"/>
          <w:color w:val="3A4A28"/>
          <w:sz w:val="20"/>
        </w:rPr>
        <w:t>Emerging market premiumization — P&amp;G's expanding portfolio of premium-priced products in beauty and health care growing faster than the core business in developing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Private label market share gains accelerating as consumer trade-down behavior persists, pressuring P&amp;G's premium pricing strategy and requiring increased promotional spending</w:t>
      </w:r>
    </w:p>
    <w:p>
      <w:pPr>
        <w:spacing w:before="40" w:after="40"/>
        <w:ind w:left="283"/>
      </w:pPr>
      <w:r>
        <w:rPr>
          <w:rFonts w:ascii="Calibri" w:hAnsi="Calibri"/>
          <w:b/>
          <w:color w:val="4A6B25"/>
          <w:sz w:val="20"/>
        </w:rPr>
        <w:t xml:space="preserve">2. </w:t>
      </w:r>
      <w:r>
        <w:rPr>
          <w:rFonts w:ascii="Calibri" w:hAnsi="Calibri"/>
          <w:b w:val="0"/>
          <w:color w:val="3A4A28"/>
          <w:sz w:val="20"/>
        </w:rPr>
        <w:t>Currency headwinds from a strong US dollar reducing international earnings (60%+ of revenue), potentially creating a 2-3% drag on reported revenue and EPS growth</w:t>
      </w:r>
    </w:p>
    <w:p>
      <w:pPr>
        <w:spacing w:before="40" w:after="40"/>
        <w:ind w:left="283"/>
      </w:pPr>
      <w:r>
        <w:rPr>
          <w:rFonts w:ascii="Calibri" w:hAnsi="Calibri"/>
          <w:b/>
          <w:color w:val="4A6B25"/>
          <w:sz w:val="20"/>
        </w:rPr>
        <w:t xml:space="preserve">3. </w:t>
      </w:r>
      <w:r>
        <w:rPr>
          <w:rFonts w:ascii="Calibri" w:hAnsi="Calibri"/>
          <w:b w:val="0"/>
          <w:color w:val="3A4A28"/>
          <w:sz w:val="20"/>
        </w:rPr>
        <w:t>Restructuring execution risk — the 7,000-job reduction must be managed without disrupting operations, losing key talent, or damaging the promote-from-within culture that has been P&amp;G's competitive advantage for decades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serves as a clear enabler for P&amp;G's operations — the company deploys analytical, generative, and agentic AI across product development, consumer insights (Project Genie), customer service (chatPG), demand forecasting, and supply chain optimization [1][2]. The physical nature of P&amp;G's products (detergent, diapers, razors) creates a natural moat against AI-driven disruption, as these categories require manufacturing scale and distribution networks that AI cannot digitize. The $1-1.6B in annual savings expected from AI-driven restructuring by 2026 demonstrates tangible ROI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MIT Sloan Management Review — 'How Procter &amp; Gamble Uses AI to Unlock New Insights From Data', 2025</w:t>
      </w:r>
    </w:p>
    <w:p>
      <w:pPr>
        <w:spacing w:before="20" w:after="20"/>
        <w:ind w:left="170"/>
      </w:pPr>
      <w:r>
        <w:rPr>
          <w:rFonts w:ascii="Calibri" w:hAnsi="Calibri"/>
          <w:b/>
          <w:color w:val="4A6B25"/>
          <w:sz w:val="15"/>
        </w:rPr>
        <w:t xml:space="preserve">2. </w:t>
      </w:r>
      <w:r>
        <w:rPr>
          <w:rFonts w:ascii="Calibri" w:hAnsi="Calibri"/>
          <w:b w:val="0"/>
          <w:color w:val="3A4A28"/>
          <w:sz w:val="17"/>
        </w:rPr>
        <w:t>Goldman Sachs — 'How P&amp;G CEO Moeller Plans to Use AI'; AInvest — P&amp;G Leadership Transition analyses,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PG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