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PHAT</w:t>
      </w:r>
      <w:r>
        <w:rPr>
          <w:rFonts w:ascii="Calibri" w:hAnsi="Calibri"/>
          <w:b/>
          <w:color w:val="1A2010"/>
          <w:sz w:val="40"/>
        </w:rPr>
        <w:t xml:space="preserve">  Phathom Pharmaceuticals, Inc.</w:t>
      </w:r>
    </w:p>
    <w:p>
      <w:pPr>
        <w:spacing w:after="120"/>
      </w:pPr>
      <w:r>
        <w:rPr>
          <w:rFonts w:ascii="Calibri" w:hAnsi="Calibri"/>
          <w:b/>
          <w:color w:val="6E8450"/>
          <w:sz w:val="18"/>
        </w:rPr>
        <w:t>GROWTH SLEEVE · 2026-05-02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Phathom Pharmaceuticals, Inc. is a biopharmaceutical company focused on the development and commercialization of novel treatments for gastrointestinal diseases. Its lead product, VOQUEZNA (vonoprazan), is an FDA-approved potassium-competitive acid blocker for erosive esophagitis and H. pylori infection.</w:t>
      </w:r>
    </w:p>
    <w:p>
      <w:r>
        <w:rPr>
          <w:rFonts w:ascii="Calibri" w:hAnsi="Calibri"/>
          <w:b/>
          <w:color w:val="6E8450"/>
          <w:sz w:val="18"/>
        </w:rPr>
        <w:t>350 Employees · https://www.phathompharma.com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VOQUEZNA represents a mechanistically differentiated approach (potassium-competitive acid blocker vs. traditional PPIs) with faster onset, more consistent acid suppression, and strong clinical efficacy [1]. The drug has captured 30% of new-to-brand prescriptions among top 3,000 GI prescribers as of April 2026, with 1.35M total prescriptions filled to date [1]. Revenue doubled YoY to $58.3M in Q1 2026, demonstrating strong commercial execution on a novel mechanism that addresses $15B+ acid-related GI market.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Phathom was recognized as one of the 'Best Small and Medium Workplaces in Biotechnology and Pharmaceuticals' in 2025, with employees citing a collaborative, mission-driven culture and shared commitment to GI patient outcomes [2][3]. New CEO Steven Basta (April 2025, ex-Mahana Therapeutics/Merz) brings commercial scaling expertise relevant to the VOQUEZNA growth phase [3]. Employee reviews highlight competent teams who genuinely enjoy working together toward a common purpose.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is scaling rapidly ($58.3M Q1, $320-345M FY2026 guidance) with 104% YoY growth and ~80% gross margins, but the company remains unprofitable with operating profitability expected in Q3 2026 [1]. Forward P/E of 9.16x is attractive for a high-growth pharma stock, and SG&amp;A declined $40.5M YoY showing operating leverage [1]. Debt-to-equity data unavailable but the $954M market cap on $320M+ revenue guidance suggests reasonable valuation if profitability materializes on schedule.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Phathom demonstrates a mix of infinite-game thinking through its patient-focused mission and long-term platform development, tempered by the commercial urgency to reach profitability and the pragmatic reality of operating as a single-product company.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of improving lives affected by GI diseases is tangible and measurable — VOQUEZNA offers genuinely superior acid suppression for the millions of patients inadequately served by PPIs [1]. The 1.35M prescriptions filled represent real patient impact, and the rapid prescriber adoption validates that clinicians see meaningful differentiation for their patients.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Best Workplace recognition in 2025, employee reviews praising collaboration and shared purpose, and Basta's appointment to scale the commercial organization indicate healthy team dynamics [2][3]. The nimble, entrepreneurial culture described by employees suggests empowerment and accountability rather than bureaucratic command structures.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Phathom competes against entrenched PPI market leaders (Nexium/AstraZeneca, Prevacid/Takeda) with decades of physician familiarity and generic competition at fraction of VOQUEZNA's price [1]. The company has used this rivalry to sharpen its differentiation message (faster onset, more complete suppression) but faces a significant challenge in displacing deeply habitual prescribing patterns.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transition from clinical-stage to commercial organization demonstrates significant strategic flexibility, including the CEO succession from a development-focused to commercial-focused leader [3]. The company has reduced DTC spending while growing prescriptions, showing adaptability in go-to-market strategy. Future label expansions (GERD, other GI indications) could broaden the platform beyond current approvals.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Phathom boldly launched a direct commercial strategy rather than partnering with big pharma, retaining full economics at the cost of higher upfront investment [1]. The maintained 2026 guidance despite uncertainty and the strategic pivot to reduce SG&amp;A by $40.5M while growing revenue demonstrates disciplined leadership. Operating profitability guidance for Q3 2026 represents a clear and accountable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Phathom is a compelling commercial-stage pharmaceutical company executing a rapid VOQUEZNA launch with 104% revenue growth, 80% gross margins, and a clear path to operating profitability in Q3 2026. The drug's mechanistic differentiation (potassium-competitive acid blocker vs. PPIs) is validated by 30% new-to-brand prescription share among top GI prescribers and 1.35M total scripts filled.</w:t>
      </w:r>
    </w:p>
    <w:p>
      <w:pPr>
        <w:spacing w:after="120"/>
      </w:pPr>
      <w:r>
        <w:rPr>
          <w:rFonts w:ascii="Calibri" w:hAnsi="Calibri"/>
          <w:b w:val="0"/>
          <w:color w:val="3A4A28"/>
          <w:sz w:val="20"/>
        </w:rPr>
        <w:t>At forward P/E of 9.16x on $320-345M revenue guidance, the valuation is attractive for a high-growth pharma name approaching profitability. The key question is whether VOQUEZNA can sustain growth momentum as it moves beyond early adopters into the broader GI prescriber base and navigates payer dynamics. Success would justify a significantly higher multiple; failure to achieve profitability on schedule or deceleration in script growth would pressure the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operating profitability in Q3 2026 as guided, validating the commercial model and triggering potential re-rating</w:t>
      </w:r>
    </w:p>
    <w:p>
      <w:pPr>
        <w:spacing w:before="40" w:after="40"/>
        <w:ind w:left="283"/>
      </w:pPr>
      <w:r>
        <w:rPr>
          <w:rFonts w:ascii="Calibri" w:hAnsi="Calibri"/>
          <w:b/>
          <w:color w:val="4A6B25"/>
          <w:sz w:val="20"/>
        </w:rPr>
        <w:t xml:space="preserve">2. </w:t>
      </w:r>
      <w:r>
        <w:rPr>
          <w:rFonts w:ascii="Calibri" w:hAnsi="Calibri"/>
          <w:b w:val="0"/>
          <w:color w:val="3A4A28"/>
          <w:sz w:val="20"/>
        </w:rPr>
        <w:t>Continued prescription growth acceleration beyond 1.35M cumulative scripts with expanding prescriber breadth</w:t>
      </w:r>
    </w:p>
    <w:p>
      <w:pPr>
        <w:spacing w:before="40" w:after="40"/>
        <w:ind w:left="283"/>
      </w:pPr>
      <w:r>
        <w:rPr>
          <w:rFonts w:ascii="Calibri" w:hAnsi="Calibri"/>
          <w:b/>
          <w:color w:val="4A6B25"/>
          <w:sz w:val="20"/>
        </w:rPr>
        <w:t xml:space="preserve">3. </w:t>
      </w:r>
      <w:r>
        <w:rPr>
          <w:rFonts w:ascii="Calibri" w:hAnsi="Calibri"/>
          <w:b w:val="0"/>
          <w:color w:val="3A4A28"/>
          <w:sz w:val="20"/>
        </w:rPr>
        <w:t>Potential label expansion into additional GI indications broadening the total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Failure to achieve Q3 2026 profitability timeline, potentially requiring additional capital and raising execution concerns</w:t>
      </w:r>
    </w:p>
    <w:p>
      <w:pPr>
        <w:spacing w:before="40" w:after="40"/>
        <w:ind w:left="283"/>
      </w:pPr>
      <w:r>
        <w:rPr>
          <w:rFonts w:ascii="Calibri" w:hAnsi="Calibri"/>
          <w:b/>
          <w:color w:val="4A6B25"/>
          <w:sz w:val="20"/>
        </w:rPr>
        <w:t xml:space="preserve">2. </w:t>
      </w:r>
      <w:r>
        <w:rPr>
          <w:rFonts w:ascii="Calibri" w:hAnsi="Calibri"/>
          <w:b w:val="0"/>
          <w:color w:val="3A4A28"/>
          <w:sz w:val="20"/>
        </w:rPr>
        <w:t>PPI generic pricing pressure and payer pushback limiting VOQUEZNA formulary access and net pricing</w:t>
      </w:r>
    </w:p>
    <w:p>
      <w:pPr>
        <w:spacing w:before="40" w:after="40"/>
        <w:ind w:left="283"/>
      </w:pPr>
      <w:r>
        <w:rPr>
          <w:rFonts w:ascii="Calibri" w:hAnsi="Calibri"/>
          <w:b/>
          <w:color w:val="4A6B25"/>
          <w:sz w:val="20"/>
        </w:rPr>
        <w:t xml:space="preserve">3. </w:t>
      </w:r>
      <w:r>
        <w:rPr>
          <w:rFonts w:ascii="Calibri" w:hAnsi="Calibri"/>
          <w:b w:val="0"/>
          <w:color w:val="3A4A28"/>
          <w:sz w:val="20"/>
        </w:rPr>
        <w:t>Single-product concentration risk — any safety signal or competitive entrant could materially impair the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poses minimal direct threat to Phathom's commercial pharmaceutical business — VOQUEZNA is protected by patents and FDA approval barriers that AI cannot circumvent [4]. AI-enabled drug discovery could theoretically accelerate development of next-generation acid blockers by competitors, but Phathom's first-mover advantage with an approved, commercially scaling product provides substantial time buffer. AI may help Phathom optimize its commercial strategy through prescriber targeting, payer analytics, and patient identification algorithms.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Phathom Pharmaceuticals Q1 2026 Financial Results and Business Update, GlobeNewsWire, April 30, 2026</w:t>
      </w:r>
    </w:p>
    <w:p>
      <w:pPr>
        <w:spacing w:before="20" w:after="20"/>
        <w:ind w:left="170"/>
      </w:pPr>
      <w:r>
        <w:rPr>
          <w:rFonts w:ascii="Calibri" w:hAnsi="Calibri"/>
          <w:b/>
          <w:color w:val="4A6B25"/>
          <w:sz w:val="15"/>
        </w:rPr>
        <w:t xml:space="preserve">2. </w:t>
      </w:r>
      <w:r>
        <w:rPr>
          <w:rFonts w:ascii="Calibri" w:hAnsi="Calibri"/>
          <w:b w:val="0"/>
          <w:color w:val="3A4A28"/>
          <w:sz w:val="17"/>
        </w:rPr>
        <w:t>Phathom Pharmaceuticals recognized as Best Small/Medium Workplace in Biotech, 2025</w:t>
      </w:r>
    </w:p>
    <w:p>
      <w:pPr>
        <w:spacing w:before="20" w:after="20"/>
        <w:ind w:left="170"/>
      </w:pPr>
      <w:r>
        <w:rPr>
          <w:rFonts w:ascii="Calibri" w:hAnsi="Calibri"/>
          <w:b/>
          <w:color w:val="4A6B25"/>
          <w:sz w:val="15"/>
        </w:rPr>
        <w:t xml:space="preserve">3. </w:t>
      </w:r>
      <w:r>
        <w:rPr>
          <w:rFonts w:ascii="Calibri" w:hAnsi="Calibri"/>
          <w:b w:val="0"/>
          <w:color w:val="3A4A28"/>
          <w:sz w:val="17"/>
        </w:rPr>
        <w:t>Phathom Pharmaceuticals Leadership Succession Announcement, GlobeNewsWire, April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PHAT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