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PHM</w:t>
      </w:r>
      <w:r>
        <w:rPr>
          <w:rFonts w:ascii="Calibri" w:hAnsi="Calibri"/>
          <w:b/>
          <w:color w:val="1A2010"/>
          <w:sz w:val="40"/>
        </w:rPr>
        <w:t xml:space="preserve">  PulteGroup, Inc.</w:t>
      </w:r>
    </w:p>
    <w:p>
      <w:pPr>
        <w:spacing w:after="120"/>
      </w:pPr>
      <w:r>
        <w:rPr>
          <w:rFonts w:ascii="Calibri" w:hAnsi="Calibri"/>
          <w:b/>
          <w:color w:val="6E8450"/>
          <w:sz w:val="18"/>
        </w:rPr>
        <w:t>GROWTH SLEEVE · 2026-04-21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Residential Construction · NYSE · United States</w:t>
      </w:r>
    </w:p>
    <w:p>
      <w:pPr>
        <w:spacing w:after="80"/>
      </w:pPr>
      <w:r>
        <w:rPr>
          <w:rFonts w:ascii="Calibri" w:hAnsi="Calibri"/>
          <w:b w:val="0"/>
          <w:color w:val="3A4A28"/>
          <w:sz w:val="20"/>
        </w:rPr>
        <w:t>PulteGroup is one of America's largest homebuilders, constructing and selling single-family detached and attached homes across the United States under the Pulte Homes, Del Webb, Centex, and DiVosta brands. The company also operates mortgage banking, title, and insurance subsidiaries. PulteGroup closed over 29,500 homes in 2025 generating $17.3B in revenue.</w:t>
      </w:r>
    </w:p>
    <w:p>
      <w:r>
        <w:rPr>
          <w:rFonts w:ascii="Calibri" w:hAnsi="Calibri"/>
          <w:b/>
          <w:color w:val="6E8450"/>
          <w:sz w:val="18"/>
        </w:rPr>
        <w:t>6,506 Employees · https://pultegroupinc.com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PulteGroup has executed a multi-year strategic pivot toward higher-margin markets, expanding the Del Webb active adult brand and growing its first-time buyer segment through Centex, while closing over 29,500 homes in 2025 [1]. The company increased average selling price to $569K while maintaining volume, demonstrating pricing discipline. AI Deployment (1/2): PulteGroup piloted robotic-assisted construction using FBR's Hadrian X AI-guided system at Babcock Ranch, building structural walls in a single day [2]. The company also invested in cloud applications and AI-driven platforms with Microsoft and AT&amp;T for operational optimization [2]. However, these remain pilots rather than scaled deployments. Market Share (1/2): PulteGroup is the third-largest U.S. homebuilder by closings, with meaningful share across entry-level, move-up, and active adult segments, but trails D.R. Horton and Lennar in volume [1]. Pipeline (1/2): The Innovation Way living laboratory at Babcock Ranch tests smart home automation and vehicle-to-home power solutions, with guided 28,500-29,000 closings for 2026 at $550K-$560K ASP [1][2]. R&amp;D Intensity (1/1): Investment in construction technology, robotic pilots, and smart home innovation exceeds typical homebuilder R&amp;D spend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PulteGroup's stated purpose centers on 'building incredible places where people can live their dreams,' a clear mission connecting its work to homeownership but not distinctively different from peer homebuilders. It identifies what the company does and for whom without articulating a transformative vision. Community Impact (2/2): PulteGroup operates a robust corporate social responsibility program through PulteCares, committed to 100% ENERGY STAR certified homes by 2025, and actively builds affordable housing through its Centex brand [3]. The company's sustainability program includes waste reduction, energy-efficient construction, and responsible land development [3]. Employee Retention (1/2): CEO Ryan Marshall has led since 2016, providing 10 years of leadership continuity. Comparably rates the executive team in the top 30% for companies of similar size. Glassdoor reviews cite competitive compensation and team-building culture, though some note leadership can be distant [2]. Insider Buying (1/2): Net insider selling dominates — CEO Marshall sold 111,250 shares ($14.9M) in February 2026, and multiple executives sold a combined $20.2M over 90 days with zero insider purchases [4]. However, this follows a period of strong stock performance (stock doubled from 2023 lows), suggesting profit-taking rather than lack of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PulteGroup's balance sheet is exceptionally strong for a homebuilder — D/E of just 18.5% with $2.0B in cash against $2.4B in debt, representing an 11.2% debt-to-capital ratio [1][5]. ROE of 17.7% demonstrates efficient capital deployment. Revenue of $17.3B declined 6.3% YoY from the 2024 peak of $17.9B due to housing market softening, but the 5-year CAGR of ~9.5% reflects strong secular growth [5]. Forward P/E of 11.6x on $10.99 forward EPS is deeply discounted for a company with this quality profile. PEG ratio of 1.13 is near the target of 1.0. Profit margin of 12.8% with gross margins of 26.9% and operating margins of 18.0% reflect disciplined operations [5]. Free cash flow of $1.5B provides substantial capital return capacity. Guided 2026 gross margin of 24.5-25.0% with ~$1B expected cash flow [1]. Liquidity floor easily cleared: $238M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PulteGroup under Ryan Marshall demonstrates many infinite game characteristics — a decade of consistent leadership, disciplined balance sheet management during cyclical swings, and investment in next-generation construction technology. The company plays across market cycles rather than optimizing for any single quarter, though its strategic vision lacks a transformative Just Cause beyond building quality homes.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PulteGroup's purpose of enabling homeownership across life stages — first-time buyers (Centex), move-up families (Pulte Homes), and active adults (Del Webb) — is genuine and partially lived out through decades of consistent execution [1]. The multi-brand strategy serves different demographics rather than just maximizing revenue. However, this is not a transformative vision that inspires beyond the obvious — it's a well-executed business strategy. The commitment to ENERGY STAR certification and sustainable building practices adds depth [3].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Ryan Marshall's 10-year CEO tenure provides leadership stability uncommon in the homebuilding industry. Comparably rates the executive team in the top 30% of similar-sized companies [2]. Employee reviews cite competitive compensation, team-building events, and a generally positive culture. However, some reviews note disconnected leadership and the inherently decentralized nature of homebuilding operations can create cultural inconsistency across divisions. Adequate trust without exceptional evidence.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PulteGroup's competitive positioning acknowledges D.R. Horton's volume leadership and Meritage Homes' energy efficiency leadership as motivation to improve its own offerings. The company's investment in Innovation Way to test next-generation construction technologies reflects a learning mindset — improving its capabilities rather than simply trying to beat competitors on volume [2].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PulteGroup has evolved incrementally over its 76-year history — from a regional Michigan builder to a national multi-brand platform spanning entry-level, move-up, and active adult markets [1]. The expansion into mortgage banking, title, and insurance demonstrates business model evolution. The current investment in robotic construction and smart home technology shows willingness to adapt. However, these are incremental extensions rather than transformative pivots — the core business has always been homebuilding.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Marshall has demonstrated financial discipline during the housing boom — maintaining a conservative 11.2% debt-to-capital ratio while peers leveraged up, and investing $5.4B in land spend for future growth [1]. The commitment to 100% ENERGY STAR certified homes represents a principled stance that costs more upfront. The decision to pilot robotic construction rather than waiting for competitors shows initiative. However, there's no evidence of truly courageous decisions that sacrificed near-term earnings for long-term capability.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PulteGroup is a top-tier homebuilder trading at a deep value multiple of 11.6x forward P/E with fortress balance sheet quality — 18.5% D/E, $2.0B cash, $1.5B free cash flow, and 17.7% ROE [5]. The company closed 29,500+ homes in 2025 at $569K ASP, generating $17.3B revenue with 26.9% gross margins and 18.0% operating margins [1]. The multi-brand portfolio (Centex, Pulte Homes, Del Webb, DiVosta) provides diversified exposure across first-time, move-up, and active adult segments, reducing cyclical risk. The $1B new share repurchase program and growing dividend (13% 5yr CAGR) demonstrate capital return discipline. At current levels, the stock is priced for housing market pessimism while delivering builder-leading margins and returns on capital [5].</w:t>
      </w:r>
    </w:p>
    <w:p>
      <w:pPr>
        <w:spacing w:after="120"/>
      </w:pPr>
      <w:r>
        <w:rPr>
          <w:rFonts w:ascii="Calibri" w:hAnsi="Calibri"/>
          <w:b w:val="0"/>
          <w:color w:val="3A4A28"/>
          <w:sz w:val="20"/>
        </w:rPr>
        <w:t>The bear case centers on housing cycle risk and margin compression. Revenue declined 6.3% YoY in 2025 as higher mortgage rates (6.5-7%) suppressed demand, and 2026 guidance of 28,500-29,000 closings at $550K-$560K ASP implies further revenue pressure [1]. Q4 2025 gross margin declined to 24.7% from cycle highs, and incentives rose to 9.9% of sales, suggesting pricing power erosion [1]. A $35M land impairment in Q4 signals potential write-down risk in the land portfolio if housing weakens further. The homebuilding industry faces secular headwinds from affordability constraints — median home prices remain stretched relative to incomes, and any recession would amplify the cyclical downturn. Seaport Research downgraded PHM to Strong Sell in April 2026, and Bank of America cut its price target to $140, reflecting analyst concern about the housing cycle trajectory [4]. Insider selling of $20.2M over 90 days adds to the cautionary signals.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decline below 6% would unlock substantial pent-up housing demand across PulteGroup's entry-level and move-up segments [1]</w:t>
      </w:r>
    </w:p>
    <w:p>
      <w:pPr>
        <w:spacing w:before="40" w:after="40"/>
        <w:ind w:left="283"/>
      </w:pPr>
      <w:r>
        <w:rPr>
          <w:rFonts w:ascii="Calibri" w:hAnsi="Calibri"/>
          <w:b/>
          <w:color w:val="4A6B25"/>
          <w:sz w:val="20"/>
        </w:rPr>
        <w:t xml:space="preserve">2. </w:t>
      </w:r>
      <w:r>
        <w:rPr>
          <w:rFonts w:ascii="Calibri" w:hAnsi="Calibri"/>
          <w:b w:val="0"/>
          <w:color w:val="3A4A28"/>
          <w:sz w:val="20"/>
        </w:rPr>
        <w:t>Robotic construction and AI-driven efficiency pilots scaling from Innovation Way to production communities, reducing build cycle times and labor costs [2]</w:t>
      </w:r>
    </w:p>
    <w:p>
      <w:pPr>
        <w:spacing w:before="40" w:after="40"/>
        <w:ind w:left="283"/>
      </w:pPr>
      <w:r>
        <w:rPr>
          <w:rFonts w:ascii="Calibri" w:hAnsi="Calibri"/>
          <w:b/>
          <w:color w:val="4A6B25"/>
          <w:sz w:val="20"/>
        </w:rPr>
        <w:t xml:space="preserve">3. </w:t>
      </w:r>
      <w:r>
        <w:rPr>
          <w:rFonts w:ascii="Calibri" w:hAnsi="Calibri"/>
          <w:b w:val="0"/>
          <w:color w:val="3A4A28"/>
          <w:sz w:val="20"/>
        </w:rPr>
        <w:t>Del Webb active adult segment growth as 10,000+ Baby Boomers retire daily, driving demand for age-restricted communities at premium ASPs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persistence above 7% could suppress closings below 2026 guidance of 28,500-29,000 and compress margins below the 24.5% gross margin floor [1]</w:t>
      </w:r>
    </w:p>
    <w:p>
      <w:pPr>
        <w:spacing w:before="40" w:after="40"/>
        <w:ind w:left="283"/>
      </w:pPr>
      <w:r>
        <w:rPr>
          <w:rFonts w:ascii="Calibri" w:hAnsi="Calibri"/>
          <w:b/>
          <w:color w:val="4A6B25"/>
          <w:sz w:val="20"/>
        </w:rPr>
        <w:t xml:space="preserve">2. </w:t>
      </w:r>
      <w:r>
        <w:rPr>
          <w:rFonts w:ascii="Calibri" w:hAnsi="Calibri"/>
          <w:b w:val="0"/>
          <w:color w:val="3A4A28"/>
          <w:sz w:val="20"/>
        </w:rPr>
        <w:t>Land portfolio write-down risk — $5.4B annual land spend creates significant impairment exposure if housing demand deteriorates materially [1]</w:t>
      </w:r>
    </w:p>
    <w:p>
      <w:pPr>
        <w:spacing w:before="40" w:after="40"/>
        <w:ind w:left="283"/>
      </w:pPr>
      <w:r>
        <w:rPr>
          <w:rFonts w:ascii="Calibri" w:hAnsi="Calibri"/>
          <w:b/>
          <w:color w:val="4A6B25"/>
          <w:sz w:val="20"/>
        </w:rPr>
        <w:t xml:space="preserve">3. </w:t>
      </w:r>
      <w:r>
        <w:rPr>
          <w:rFonts w:ascii="Calibri" w:hAnsi="Calibri"/>
          <w:b w:val="0"/>
          <w:color w:val="3A4A28"/>
          <w:sz w:val="20"/>
        </w:rPr>
        <w:t>Tariff and materials cost inflation — lumber, concrete, and imported building materials face potential tariff-driven cost increases that compress margins if not passed through to buyers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Homebuilding is a fundamentally physical-world business — constructing homes requires land acquisition, permitting, skilled labor, materials logistics, and on-site construction that AI cannot replace [2]. PulteGroup's core business is structurally immune to AI substitution. Housing demand is driven by demographics, interest rates, and household formation — none of which AI disrupts. If anything, AI economic disruption could temporarily shift housing demand patterns, but the need for physical homes is permanent. Regulatory moats (building codes, zoning, permits) add additional protection. The company's mortgage banking subsidiary faces modest AI exposure from automated underwriting, but this is a small profit contributor [1]. AI Opportunity (1/1): PulteGroup is actively deploying AI to improve operations — the Hadrian X robotic wall construction pilot, AI-driven supply chain optimization, smart home automation, and AI-powered design tools represent tangible AI revenue enhancement [2]. These tools reduce construction costs and cycle times rather than being disrupted by them.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PulteGroup Q4 and Full Year 2025 Financial Results — 29,500+ closings, $17.3B revenue, 26.3% gross margin, January 2026</w:t>
      </w:r>
    </w:p>
    <w:p>
      <w:pPr>
        <w:spacing w:before="20" w:after="20"/>
        <w:ind w:left="170"/>
      </w:pPr>
      <w:r>
        <w:rPr>
          <w:rFonts w:ascii="Calibri" w:hAnsi="Calibri"/>
          <w:b/>
          <w:color w:val="4A6B25"/>
          <w:sz w:val="15"/>
        </w:rPr>
        <w:t xml:space="preserve">2. </w:t>
      </w:r>
      <w:r>
        <w:rPr>
          <w:rFonts w:ascii="Calibri" w:hAnsi="Calibri"/>
          <w:b w:val="0"/>
          <w:color w:val="3A4A28"/>
          <w:sz w:val="17"/>
        </w:rPr>
        <w:t>PulteGroup Newsroom — Hadrian X robotic construction pilot at Babcock Ranch, Innovation Way technology laboratory, 2025</w:t>
      </w:r>
    </w:p>
    <w:p>
      <w:pPr>
        <w:spacing w:before="20" w:after="20"/>
        <w:ind w:left="170"/>
      </w:pPr>
      <w:r>
        <w:rPr>
          <w:rFonts w:ascii="Calibri" w:hAnsi="Calibri"/>
          <w:b/>
          <w:color w:val="4A6B25"/>
          <w:sz w:val="15"/>
        </w:rPr>
        <w:t xml:space="preserve">3. </w:t>
      </w:r>
      <w:r>
        <w:rPr>
          <w:rFonts w:ascii="Calibri" w:hAnsi="Calibri"/>
          <w:b w:val="0"/>
          <w:color w:val="3A4A28"/>
          <w:sz w:val="17"/>
        </w:rPr>
        <w:t>PulteGroup ESG/Sustainability Reports and As You Sow shareholder proposal — ENERGY STAR commitment, climate risk concerns, 2025</w:t>
      </w:r>
    </w:p>
    <w:p>
      <w:pPr>
        <w:spacing w:before="20" w:after="20"/>
        <w:ind w:left="170"/>
      </w:pPr>
      <w:r>
        <w:rPr>
          <w:rFonts w:ascii="Calibri" w:hAnsi="Calibri"/>
          <w:b/>
          <w:color w:val="4A6B25"/>
          <w:sz w:val="15"/>
        </w:rPr>
        <w:t xml:space="preserve">4. </w:t>
      </w:r>
      <w:r>
        <w:rPr>
          <w:rFonts w:ascii="Calibri" w:hAnsi="Calibri"/>
          <w:b w:val="0"/>
          <w:color w:val="3A4A28"/>
          <w:sz w:val="17"/>
        </w:rPr>
        <w:t>MarketBeat / TipRanks — PulteGroup insider trading: CEO sold $14.9M, total insider sales $20.2M in 90 days, zero purchases, February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PHM (PulteGroup),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