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PICS</w:t>
      </w:r>
      <w:r>
        <w:rPr>
          <w:rFonts w:ascii="Calibri" w:hAnsi="Calibri"/>
          <w:b/>
          <w:color w:val="1A2010"/>
          <w:sz w:val="40"/>
        </w:rPr>
        <w:t xml:space="preserve">  PicS N.V.</w:t>
      </w:r>
    </w:p>
    <w:p>
      <w:pPr>
        <w:spacing w:after="120"/>
      </w:pPr>
      <w:r>
        <w:rPr>
          <w:rFonts w:ascii="Calibri" w:hAnsi="Calibri"/>
          <w:b/>
          <w:color w:val="6E8450"/>
          <w:sz w:val="18"/>
        </w:rPr>
        <w:t>GROWTH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Brazil</w:t>
      </w:r>
    </w:p>
    <w:p>
      <w:pPr>
        <w:spacing w:after="80"/>
      </w:pPr>
      <w:r>
        <w:rPr>
          <w:rFonts w:ascii="Calibri" w:hAnsi="Calibri"/>
          <w:b w:val="0"/>
          <w:color w:val="3A4A28"/>
          <w:sz w:val="20"/>
        </w:rPr>
        <w:t>PicS N.V. (PicPay) operates as a digital financial services super-app in Brazil, providing digital wallet, instant payments via Pix, peer-to-peer transfers, bill payments, personal and payroll loans, multipurpose cards, QR code payments for businesses, corporate benefits, and an advertising platform to over 60 million users.</w:t>
      </w:r>
    </w:p>
    <w:p>
      <w:r>
        <w:rPr>
          <w:rFonts w:ascii="Calibri" w:hAnsi="Calibri"/>
          <w:b/>
          <w:color w:val="6E8450"/>
          <w:sz w:val="18"/>
        </w:rPr>
        <w:t>5,000 Employees · https://investor.picpay.com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PicPay transformed from a simple digital wallet into a full-stack financial super-app serving 60M+ users with banking, credit, insurance, and advertising products — one of the most successful fintech pivots in Latin America, achieving profitability while growing revenue 84.5% YoY [1][2]. AI Deployment (2/2): In-house GenAI built on Microsoft Azure OpenAI Service recognizes Pix keys from conversations, audio, photos, and screenshots; Feedzai AI-powered fraud detection deployed across transactions; 100% AI-generated marketing campaign launched September 2024 [3]. Market Share Leadership (1/2): Strong player in Brazilian digital payments but not category leader — competes against Nubank (200M+ users), MercadoPago, and traditional banks in a fragmented market. Product Pipeline (1/2): Expanding credit penetration, scaling SMB operations, deepening customer engagement, and building advertising platform as new revenue vertical [1]. R&amp;D Intensity (0/1): No formal R&amp;D disclosure as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PicPay's purpose of democratizing financial services for everyday Brazilians connects the company's work to financial inclusion — a genuine social purpose that drives strategic decisions and differentiates from traditional banks. CEO Eduardo Chedid explicitly states 'this is a people business' [2]. Community Impact (1/2): The platform enables financial access for underbanked Brazilians through free Pix transfers, bill payments, and accessible credit products — inherent social impact through core business model. Employee Retention (1/2): Limited public employee sentiment data; recent IPO and rapid growth suggest dynamic culture but no specific retention metrics available. Insider Buying (0/2): Recent IPO (January 2026) limits meaningful insider buying/selling analysis; no notable insider transactions identified post-IPO.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Exceptional across nearly all dimensions: D/E of 41.5% well below 70% target, ROE of 40.4% significantly above 15% target, revenue growth of 68.7% YoY dramatically above 10% target, and Forward P/E of 3.5 is extraordinarily cheap [4]. Only weakness is profit margin of 10.6% below 20% target (scores 0.53), reflecting the credit business's inherent margin structure in Brazil's high-rate environment. Liquidity passes at $7.6M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PicPay demonstrates genuine purpose-driven leadership with CEO Chedid's focus on financial democratization in Brazil, and the company has shown existential flexibility in transforming from a wallet app into a full financial super-app. However, the recent IPO, aggressive growth targets, and focus on unit economics suggest increasing pressure toward finite-game quarterly optimization.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PicPay's cause of democratizing financial services for everyday Brazilians is genuine and partially lived — the company provides free Pix transfers and accessible credit to underbanked populations, and CEO Chedid frames the business as 'a people business' [2]. However, the cause hasn't been tested through multi-decade consistency (founded 2012, IPO January 2026), and post-IPO shareholder pressure may test whether inclusion or profitability wins.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public data on employee culture post-IPO. The rapid growth from startup to 5,000+ employees suggests dynamic culture, and the successful transformation into a super-app required significant organizational trust and cross-functional collaboration. However, no specific Glassdoor or employee sentiment data is available to substantiate high-trust claims. Average by default.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PicPay openly competes in a market with formidable rivals — Nubank, MercadoPago, traditional banks — and has differentiated through Pix-native design and advertising rather than attempting to beat rivals on scale alone. The multi-product super-app strategy suggests learning from Asian fintech models (WeChat Pay, Alipay) rather than pure competitive warfare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PicPay has demonstrated transformative flexibility — pivoting from a simple digital wallet into a full-stack financial super-app with banking, credit, insurance, SMB services, and advertising. This is a genuine business model reinvention driven by the vision of financial inclusion, not desperation. The addition of advertising as a revenue vertical shows willingness to redefine the company's identity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recently-IPO'd company (January 2026), PicPay has not yet faced the test of courage that comes with public market pressure. No examples exist of sacrificing near-term results for long-term capability under shareholder scrutiny. The company's 2026 guidance emphasizing 'sustainable and profitable growth' could reflect either genuine long-term thinking or IPO-stage investor messaging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PicPay represents a rare opportunity to own a profitable, hyper-growth Brazilian fintech at just 3.5x forward earnings with 60M+ users, 68.7% revenue growth, and 40% ROE [1][4]. The company has successfully transformed from a digital wallet into a financial super-app achieving profitability (net income R$199M in 2025, up 466% YoY) while maintaining exceptional top-line momentum, with Q1 2026 guidance of R$3.15B revenue and expanding credit penetration [1].</w:t>
      </w:r>
    </w:p>
    <w:p>
      <w:pPr>
        <w:spacing w:after="120"/>
      </w:pPr>
      <w:r>
        <w:rPr>
          <w:rFonts w:ascii="Calibri" w:hAnsi="Calibri"/>
          <w:b w:val="0"/>
          <w:color w:val="3A4A28"/>
          <w:sz w:val="20"/>
        </w:rPr>
        <w:t>Key risks include Brazil country risk (currency volatility, regulatory changes, political instability), intense competition from Nubank and traditional banks with deeper pockets, and the inherent credit risk in expanding lending to underbanked populations in an emerging market. The stock's 13% decline from $13.30 SMA to $11.50 current price may reflect post-IPO volatility rather than fundamental deterioration, but limited trading history makes valuation anchoring difficult. Profit margins of 10.6% remain thin for the risk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guidance of R$3.15B revenue and R$140M net income signals continued profitable hyper-growth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Credit penetration expansion and SMB scaling represent large addressable markets within existing 60M+ user base</w:t>
      </w:r>
    </w:p>
    <w:p>
      <w:pPr>
        <w:spacing w:before="40" w:after="40"/>
        <w:ind w:left="283"/>
      </w:pPr>
      <w:r>
        <w:rPr>
          <w:rFonts w:ascii="Calibri" w:hAnsi="Calibri"/>
          <w:b/>
          <w:color w:val="4A6B25"/>
          <w:sz w:val="20"/>
        </w:rPr>
        <w:t xml:space="preserve">3. </w:t>
      </w:r>
      <w:r>
        <w:rPr>
          <w:rFonts w:ascii="Calibri" w:hAnsi="Calibri"/>
          <w:b w:val="0"/>
          <w:color w:val="3A4A28"/>
          <w:sz w:val="20"/>
        </w:rPr>
        <w:t>AI-powered personalization and advertising platform development creating high-margin revenue diversification beyond payments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 macro risk — currency depreciation, interest rate volatility, and political instability could compress USD-denominated returns</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Nubank (200M+ users), MercadoPago, and traditional banks with deeper balance sheets for credit products</w:t>
      </w:r>
    </w:p>
    <w:p>
      <w:pPr>
        <w:spacing w:before="40" w:after="40"/>
        <w:ind w:left="283"/>
      </w:pPr>
      <w:r>
        <w:rPr>
          <w:rFonts w:ascii="Calibri" w:hAnsi="Calibri"/>
          <w:b/>
          <w:color w:val="4A6B25"/>
          <w:sz w:val="20"/>
        </w:rPr>
        <w:t xml:space="preserve">3. </w:t>
      </w:r>
      <w:r>
        <w:rPr>
          <w:rFonts w:ascii="Calibri" w:hAnsi="Calibri"/>
          <w:b w:val="0"/>
          <w:color w:val="3A4A28"/>
          <w:sz w:val="20"/>
        </w:rPr>
        <w:t>Post-IPO execution risk — maintaining 84.5% revenue growth while expanding credit in an emerging market creates significant loss provision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PicPay faces meaningful AI exposure from multiple vectors — big tech companies (Apple Pay, Google Pay, Meta) could leverage AI capabilities to enter Brazilian payments, and generative AI tools could automate financial advice that PicPay offers. The core payments infrastructure (Pix rails) is mandated by Brazil's central bank and not easily disrupted, but the value-added services layer (credit scoring, financial advice, customer engagement) faces AI substitution risk from better-capitalized competitors. However, PicPay's 60M user base and local regulatory expertise provide defensive moats. AI Opportunity (1/1): PicPay generates measurable value from AI — in-house GenAI for Pix key recognition, Feedzai-powered fraud detection reducing losses, and AI-driven personalization improving conversion 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PicPay Q1 2026 Earnings Guidance &amp; Investor Presentation — revenue R$3.15B, net income R$140M, strategic priorities for 2026</w:t>
      </w:r>
    </w:p>
    <w:p>
      <w:pPr>
        <w:spacing w:before="20" w:after="20"/>
        <w:ind w:left="170"/>
      </w:pPr>
      <w:r>
        <w:rPr>
          <w:rFonts w:ascii="Calibri" w:hAnsi="Calibri"/>
          <w:b/>
          <w:color w:val="4A6B25"/>
          <w:sz w:val="15"/>
        </w:rPr>
        <w:t xml:space="preserve">2. </w:t>
      </w:r>
      <w:r>
        <w:rPr>
          <w:rFonts w:ascii="Calibri" w:hAnsi="Calibri"/>
          <w:b w:val="0"/>
          <w:color w:val="3A4A28"/>
          <w:sz w:val="17"/>
        </w:rPr>
        <w:t>Fintech Leaders Podcast / Bloomberg — Eduardo Chedid CEO interview: 60M users, $1B revenue, 'people business' philosophy, super-app strategy</w:t>
      </w:r>
    </w:p>
    <w:p>
      <w:pPr>
        <w:spacing w:before="20" w:after="20"/>
        <w:ind w:left="170"/>
      </w:pPr>
      <w:r>
        <w:rPr>
          <w:rFonts w:ascii="Calibri" w:hAnsi="Calibri"/>
          <w:b/>
          <w:color w:val="4A6B25"/>
          <w:sz w:val="15"/>
        </w:rPr>
        <w:t xml:space="preserve">3. </w:t>
      </w:r>
      <w:r>
        <w:rPr>
          <w:rFonts w:ascii="Calibri" w:hAnsi="Calibri"/>
          <w:b w:val="0"/>
          <w:color w:val="3A4A28"/>
          <w:sz w:val="17"/>
        </w:rPr>
        <w:t>Feedzai Press Release / Databricks Case Study / Microsoft AI University — PicPay AI deployment: GenAI on Azure OpenAI, fraud detection, 100% AI marketing campaign</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 Analysis — PICS key statistics accessed May 2026: P/E 6.53, Forward P/E 3.53, ROE 40.4%, revenue growth 68.7%</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