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PLAB</w:t>
      </w:r>
      <w:r>
        <w:rPr>
          <w:rFonts w:ascii="Calibri" w:hAnsi="Calibri"/>
          <w:b/>
          <w:color w:val="1A2010"/>
          <w:sz w:val="40"/>
        </w:rPr>
        <w:t xml:space="preserve">  Photronics, Inc.</w:t>
      </w:r>
    </w:p>
    <w:p>
      <w:pPr>
        <w:spacing w:after="120"/>
      </w:pPr>
      <w:r>
        <w:rPr>
          <w:rFonts w:ascii="Calibri" w:hAnsi="Calibri"/>
          <w:b/>
          <w:color w:val="6E8450"/>
          <w:sz w:val="18"/>
        </w:rPr>
        <w:t>GROWTH SLEEVE · 2026-05-02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Photronics, Inc. manufactures and sells photomask products and services globally, serving the semiconductor and flat panel display industries with manufacturing locations in the US, Taiwan, China, Korea, and Europe.</w:t>
      </w:r>
    </w:p>
    <w:p>
      <w:r>
        <w:rPr>
          <w:rFonts w:ascii="Calibri" w:hAnsi="Calibri"/>
          <w:b/>
          <w:color w:val="6E8450"/>
          <w:sz w:val="18"/>
        </w:rPr>
        <w:t>1,900 Employees · https://www.photronics.com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Photronics achieved record high-end IC revenue of $71M in Q1 FY2026, up 19% YoY, reflecting successful technology advancement into leading-edge nodes [1]. The company is investing $330M in CapEx for FY2026 focused on new US and Korea facilities and accelerated tool upgrades, demonstrating commitment to next-generation EUV photomask capabilities [2]. Market position as one of only two major independent photomask manufacturers globally gives structural innovation advantages.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3.1/5 with culture and values scoring 2.9/5 suggests a mixed employee experience [3]. Recent leadership restructuring with Eric Rivera as President/CFO signals organizational refresh, but some reviews cite toxic leadership stifling innovation [3]. No dividend or meaningful insider buying pattern evident; a director recently sold 10,000 shares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Outstanding balance sheet with debt-to-equity of just 0.1%, 35% gross margins, and 24% operating margins [1]. Generated $97M operating cash flow in Q1 (43% of revenue), the second-highest quarter in company history [2]. Forward P/E of 21.3x is reasonable for a semiconductor equipment name growing revenue 6% with record IC mix. Profit margin of 15.8% and ROE of 12.2% are solid for a capital-intensive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Photronics demonstrates long-term thinking through massive CapEx investments in US and Korean facilities, but leadership turnover and mixed employee culture suggest gaps in building trusting teams and sustained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semiconductor manufacturing advancement is a meaningful mission, and the company's 55-year history since 1969 shows endurance [5]. However, there is no articulated higher purpose beyond shareholder returns and technology enablement.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3.1/5 and culture score of 2.9/5 indicate room for improvement [3]. Recent executive reshuffling with CEO transition announced in mid-2025 and new President appointment suggests organizational instability, though new leadership may improve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effectively as one of two major independent photomask manufacturers alongside Toppan, while also competing with captive photomask operations at Intel, TSMC, and Samsung. The duopoly position shows the company has earned its place through decades of sustained investment.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$330M CapEx plan for FY2026 with new US and Korea facilities shows willingness to make bold bets on geographic diversification [2]. Expansion into high-end IC photomasks from legacy FPD business demonstrates successful strategic pivoting over time.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shown courage in committing to elevated CapEx despite cyclical semiconductor demand, but the CEO transition mid-cycle and lack of bold public positioning on industry issues suggest conventional leadership rather than industry-shaping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Photronics is a structural beneficiary of AI-driven semiconductor complexity, holding duopoly positioning in advanced photomasks with record high-end IC revenue and exceptional cash generation. The company's near-zero leverage and aggressive CapEx plan position it to capture growing demand as chip designs push to smaller nodes.</w:t>
      </w:r>
    </w:p>
    <w:p>
      <w:pPr>
        <w:spacing w:after="120"/>
      </w:pPr>
      <w:r>
        <w:rPr>
          <w:rFonts w:ascii="Calibri" w:hAnsi="Calibri"/>
          <w:b w:val="0"/>
          <w:color w:val="3A4A28"/>
          <w:sz w:val="20"/>
        </w:rPr>
        <w:t>Key concerns include a PEG ratio of 2.64x suggesting full valuation, mixed employee culture scores, and leadership transition risk. The stock has nearly tripled from its 52-week low, potentially pricing in much of the AI tailwind. Patient investors should wait for better entry points or evidence of sustained double-digit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high-end IC revenue growth of 19% YoY as AI chip demand accelerates photomask complexity requirements</w:t>
      </w:r>
    </w:p>
    <w:p>
      <w:pPr>
        <w:spacing w:before="40" w:after="40"/>
        <w:ind w:left="283"/>
      </w:pPr>
      <w:r>
        <w:rPr>
          <w:rFonts w:ascii="Calibri" w:hAnsi="Calibri"/>
          <w:b/>
          <w:color w:val="4A6B25"/>
          <w:sz w:val="20"/>
        </w:rPr>
        <w:t xml:space="preserve">2. </w:t>
      </w:r>
      <w:r>
        <w:rPr>
          <w:rFonts w:ascii="Calibri" w:hAnsi="Calibri"/>
          <w:b w:val="0"/>
          <w:color w:val="3A4A28"/>
          <w:sz w:val="20"/>
        </w:rPr>
        <w:t>New US and Korea manufacturing facilities coming online from $330M CapEx program, expanding capacity for advanced nodes</w:t>
      </w:r>
    </w:p>
    <w:p>
      <w:pPr>
        <w:spacing w:before="40" w:after="40"/>
        <w:ind w:left="283"/>
      </w:pPr>
      <w:r>
        <w:rPr>
          <w:rFonts w:ascii="Calibri" w:hAnsi="Calibri"/>
          <w:b/>
          <w:color w:val="4A6B25"/>
          <w:sz w:val="20"/>
        </w:rPr>
        <w:t xml:space="preserve">3. </w:t>
      </w:r>
      <w:r>
        <w:rPr>
          <w:rFonts w:ascii="Calibri" w:hAnsi="Calibri"/>
          <w:b w:val="0"/>
          <w:color w:val="3A4A28"/>
          <w:sz w:val="20"/>
        </w:rPr>
        <w:t>Potential re-rating as market recognizes Photronics as a scarce AI semiconductor pick-and-shovel play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2.64x and forward P/E of 21x on only 6% revenue growth leaves limited margin of safety if AI capex cycle slows</w:t>
      </w:r>
    </w:p>
    <w:p>
      <w:pPr>
        <w:spacing w:before="40" w:after="40"/>
        <w:ind w:left="283"/>
      </w:pPr>
      <w:r>
        <w:rPr>
          <w:rFonts w:ascii="Calibri" w:hAnsi="Calibri"/>
          <w:b/>
          <w:color w:val="4A6B25"/>
          <w:sz w:val="20"/>
        </w:rPr>
        <w:t xml:space="preserve">2. </w:t>
      </w:r>
      <w:r>
        <w:rPr>
          <w:rFonts w:ascii="Calibri" w:hAnsi="Calibri"/>
          <w:b w:val="0"/>
          <w:color w:val="3A4A28"/>
          <w:sz w:val="20"/>
        </w:rPr>
        <w:t>CEO transition and leadership restructuring could disrupt execution during critical expansion phase</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with major customers (TSMC, Samsung, Intel) who also maintain captive photomask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significant tailwind for Photronics as advanced AI chips require the most complex photomasks at leading-edge nodes. The company's record high-end IC revenue directly correlates with AI chip demand from customers like TSMC and Samsung [1]. Photomask manufacturing requires extreme precision that cannot be easily automated or disrupted by AI; rather, AI chip proliferation drives incremental demand for Photronics' highest-margin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Photronics Q1 FY2026 Earnings Call Highlights, GuruFocus, February 2026</w:t>
      </w:r>
    </w:p>
    <w:p>
      <w:pPr>
        <w:spacing w:before="20" w:after="20"/>
        <w:ind w:left="170"/>
      </w:pPr>
      <w:r>
        <w:rPr>
          <w:rFonts w:ascii="Calibri" w:hAnsi="Calibri"/>
          <w:b/>
          <w:color w:val="4A6B25"/>
          <w:sz w:val="15"/>
        </w:rPr>
        <w:t xml:space="preserve">2. </w:t>
      </w:r>
      <w:r>
        <w:rPr>
          <w:rFonts w:ascii="Calibri" w:hAnsi="Calibri"/>
          <w:b w:val="0"/>
          <w:color w:val="3A4A28"/>
          <w:sz w:val="17"/>
        </w:rPr>
        <w:t>Photronics Q1 2026 Investor Presentation — record IC revenue, Investing.com,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Photronics Reviews (74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Motley Fool — Photronics insider selling reports, April 2026</w:t>
      </w:r>
    </w:p>
    <w:p>
      <w:pPr>
        <w:spacing w:before="20" w:after="20"/>
        <w:ind w:left="170"/>
      </w:pPr>
      <w:r>
        <w:rPr>
          <w:rFonts w:ascii="Calibri" w:hAnsi="Calibri"/>
          <w:b/>
          <w:color w:val="4A6B25"/>
          <w:sz w:val="15"/>
        </w:rPr>
        <w:t xml:space="preserve">5. </w:t>
      </w:r>
      <w:r>
        <w:rPr>
          <w:rFonts w:ascii="Calibri" w:hAnsi="Calibri"/>
          <w:b w:val="0"/>
          <w:color w:val="3A4A28"/>
          <w:sz w:val="17"/>
        </w:rPr>
        <w:t>Photronics Wikipedia — company history, founded 1969</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