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PLD</w:t>
      </w:r>
      <w:r>
        <w:rPr>
          <w:rFonts w:ascii="Calibri" w:hAnsi="Calibri"/>
          <w:b/>
          <w:color w:val="1A2010"/>
          <w:sz w:val="40"/>
        </w:rPr>
        <w:t xml:space="preserve">  Prologis, Inc.</w:t>
      </w:r>
    </w:p>
    <w:p>
      <w:pPr>
        <w:spacing w:after="120"/>
      </w:pPr>
      <w:r>
        <w:rPr>
          <w:rFonts w:ascii="Calibri" w:hAnsi="Calibri"/>
          <w:b/>
          <w:color w:val="6E8450"/>
          <w:sz w:val="18"/>
        </w:rPr>
        <w:t>DIVIDEND SLEEVE · 2026-04-08 · Inspire: 64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Prologis, Inc. is the world's largest industrial real estate investment trust (REIT), owning, operating, and developing logistics and distribution facilities across 19 countries. The company serves approximately 6,700 customers—primarily third-party logistics providers, e-commerce operators, and retailers—from its ~1.3 billion square foot portfolio of high-throughput distribution (HTD) properties. Prologis is increasingly expanding into adjacent businesses including solar energy, electric vehicle charging, and data centers, positioning its strategically located land bank as a platform for the AI infrastructure buildout.</w:t>
      </w:r>
    </w:p>
    <w:p>
      <w:r>
        <w:rPr>
          <w:rFonts w:ascii="Calibri" w:hAnsi="Calibri"/>
          <w:b/>
          <w:color w:val="6E8450"/>
          <w:sz w:val="18"/>
        </w:rPr>
        <w:t>2,802 Employees · https://www.prologis.com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Prologis has an exceptional track record of platform innovation, evolving from a pure-play industrial landlord into an integrated logistics real estate and energy company over three decades [1]. The company signed a record 228 million square feet of leases in 2025 and expanded its data center power pipeline to 5.7 gigawatts—a massive first-mover advantage in repurposing strategically located industrial land for AI infrastructure [1]. Its proprietary Essentials platform, offering customers solar energy, EV charging, LED lighting, and racking systems, monetizes the real estate footprint beyond rent and demonstrates genuine product innovation within the REIT model [2]. R&amp;D capital allocation through Prologis Ventures and AI-enabled space planning tools positions the company as a logistics infrastructure operator rather than merely a landlord, with market share unrivaled globally at roughly 3% of total industrial logistics stock.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Prologis operates with a clear societal mission—'building the future of logistics'—centered on enabling global trade and constructing the infrastructure of modern commerce, consistently articulated across leadership communications [2]. The company's ALIGNED Inspire Impact score of +64 reflects meaningful commitments across energy management, GHG emissions reduction, environmental risk mitigation, employee wellbeing, and ethical labor practices throughout its supply chain, with no negative attributions [2]. Community impact is substantive through the Prologis Community Workforce Initiative, which trains thousands of logistics workers annually and links the company's platform directly to employment and economic opportunity [1]. Retention and culture metrics are strong for a lean 2,802-person organization managing over $200 billion in assets under management, with consistent recognition on Fortune's Best Workplaces lists.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Prologis carries a conservative debt-to-equity ratio of 61.78% for a large-cap REIT, well below leverage thresholds that signal distress, and its balance sheet is A-rated by S&amp;P with ample liquidity of $468 million [1]. Revenue grew 4.0% year-over-year with a ~15.9% five-year CAGR (from ~$4.4B in 2020 to ~$9.2B in 2025), driven by acquisitions, development completions, and near-record mark-to-market rent spreads exceeding 50% in 2025 [1]. The 36.2% net profit margin reflects the high-quality, long-duration nature of industrial leases; the elevated GAAP payout ratio of 113.5% is standard for REITs distributing depreciation-heavy GAAP earnings, with Core FFO of $5.81 per share in 2025 supporting a healthy ~70% FFO-based payout ratio [1]. Consecutive dividend payments of 28+ years, 12 consecutive years of growth, and an 11.2% five-year dividend CAGR demonstrate outstanding capital return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Prologis demonstrates a strongly infinite mindset through its multi-decade capital allocation discipline, bold repositioning into energy and data center infrastructure, and deliberate management of a global platform built to outlast any single economic cycle [1]. The company's willingness to sacrifice short-term earnings to invest in solar, EV charging, and data center capabilities—businesses that will take years to reach scale—reflects genuine existential flexibility and a long-horizon orientation that sets it apart from peers [2]. Leadership has consistently prioritized ecosystem relationships with customers, partners, and communities over purely transactional landlord dynamics, and the record 228 million square feet of new leases in 2025 demonstrates the durable competitive advantage that comes from playing the long game [1].</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Prologis has articulated and operated against a genuine Just Cause: to be the foundation of global commerce, enabling the movement of goods that sustain modern life and building infrastructure that connects the world economy [2]. This mission extends beyond profit maximization to include workforce development programs, sustainable building initiatives, and community infrastructure investments that create durable social value alongside financial returns, backed by a net-zero commitment to 2040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2,802 employees managing a $124 billion market cap enterprise across 19 countries, Prologis necessarily operates with high delegation, empowered regional teams, and trust in local market expertise [1]. Management has historically promoted from within and maintained low leadership turnover, with long-tenured executives leading the data center and Essentials platform pivots; the quarterly guidance culture of public REITs introduces some finite-game pressure into internal decision-making.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Prologis actively benchmarks against peers including EastGroup Properties, Duke Realty (now absorbed), and international logistics developers, using competitive intelligence to sharpen its platform offerings and maintain a development cost advantage [1]. The company's response to rising competition in data center-adjacent real estate shows a willingness to learn from hyperscalers and adapt its land strategy accordingly, converting competitive awareness directly into strategic action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Prologis has demonstrated exceptional willingness to transform its business model—from pure industrial REIT to integrated logistics infrastructure platform encompassing energy, mobility, and data infrastructure [1]. The 5.7-gigawatt data center pipeline, Prologis Essentials energy services platform, and EV charging network represent bold pivots that preserve the core while opening entirely new revenue streams, and the $26 billion Duke Realty acquisition in 2022 showed a willingness to make transformative capital bets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Hamid Moghadam and the executive team have shown courage in making contrarian capital allocation decisions—continuing development starts during the 2023-2024 demand softening, committing early to data center land conversion when economics were still uncertain, and accepting near-term occupancy softness rather than concede on rent [1]. The company has also taken public positions on trade policy and infrastructure investment that occasionally put it at odds with short-term market sentiment, though its scale tempers the boldest contrarian positions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Prologis is the irreplaceable backbone of global logistics real estate, holding a portfolio of ~1.3 billion square feet of high-throughput distribution facilities in the most supply-constrained, last-mile markets worldwide—a position that compounds value through secular e-commerce growth, near-shoring trends, and relentless mark-to-market rent appreciation [1]. The company's record 228 million square feet of leases signed in 2025 and net effective rent change exceeding 50% confirm that pricing power remains robust, with in-place rents still meaningfully below current market rates providing a durable embedded growth engine for years to come [1]. The emergent data center opportunity is transformational: Prologis's 5.7-gigawatt power pipeline positions the company to participate in the multi-trillion dollar AI infrastructure buildout at attractive development yields, leveraging existing land, utility relationships, and construction expertise [1].</w:t>
      </w:r>
    </w:p>
    <w:p>
      <w:pPr>
        <w:spacing w:after="120"/>
      </w:pPr>
      <w:r>
        <w:rPr>
          <w:rFonts w:ascii="Calibri" w:hAnsi="Calibri"/>
          <w:b w:val="0"/>
          <w:color w:val="3A4A28"/>
          <w:sz w:val="20"/>
        </w:rPr>
        <w:t>Core FFO guidance of $6.00–$6.20 per share for 2026 (6.05–6.25 ex-promote) implies steady earnings growth, and the 11.2% five-year dividend CAGR demonstrates management's confidence in cash flow durability for income-oriented investors [1]. At ~40x forward earnings, the stock prices in a substantial premium to industrial REIT peers, warranting a HOLD pending either valuation compression or accelerating data center monetization that would justify the multiple [2]. For long-term dividend investors, the 28+ consecutive years of payments, 12 years of consecutive growth, and 3.21% current yield anchored by a deeply asset-backed balance sheet provide a durable income stream regardless of near-term price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pipeline monetization: Converting the 5.7-gigawatt power pipeline into signed hyperscaler leases could add 10-20% to Core FFO estimates and re-rate PLD toward infrastructure REIT multiples, unlocking significant NAV per share [1]</w:t>
      </w:r>
    </w:p>
    <w:p>
      <w:pPr>
        <w:spacing w:before="40" w:after="40"/>
        <w:ind w:left="283"/>
      </w:pPr>
      <w:r>
        <w:rPr>
          <w:rFonts w:ascii="Calibri" w:hAnsi="Calibri"/>
          <w:b/>
          <w:color w:val="4A6B25"/>
          <w:sz w:val="20"/>
        </w:rPr>
        <w:t xml:space="preserve">2. </w:t>
      </w:r>
      <w:r>
        <w:rPr>
          <w:rFonts w:ascii="Calibri" w:hAnsi="Calibri"/>
          <w:b w:val="0"/>
          <w:color w:val="3A4A28"/>
          <w:sz w:val="20"/>
        </w:rPr>
        <w:t>Mark-to-market rent realization: With in-place rents 30-40% below current market levels on a meaningful portion of the portfolio, lease rollovers over the next 3-5 years will drive accelerating same-store NOI growth of 4.25-5.25% in 2026 and potentially higher thereafter [1]</w:t>
      </w:r>
    </w:p>
    <w:p>
      <w:pPr>
        <w:spacing w:before="40" w:after="40"/>
        <w:ind w:left="283"/>
      </w:pPr>
      <w:r>
        <w:rPr>
          <w:rFonts w:ascii="Calibri" w:hAnsi="Calibri"/>
          <w:b/>
          <w:color w:val="4A6B25"/>
          <w:sz w:val="20"/>
        </w:rPr>
        <w:t xml:space="preserve">3. </w:t>
      </w:r>
      <w:r>
        <w:rPr>
          <w:rFonts w:ascii="Calibri" w:hAnsi="Calibri"/>
          <w:b w:val="0"/>
          <w:color w:val="3A4A28"/>
          <w:sz w:val="20"/>
        </w:rPr>
        <w:t>Prologis Essentials scale: The solar, EV charging, and energy storage platform adds non-traditional revenue streams diversifying income and deepening customer relationships, with $1B+ of potential annual revenue at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Trade policy and tariff disruption: As the primary landlord for global trade infrastructure, Prologis is directly exposed to policy-driven changes in import/export volumes; escalating tariffs or trade restrictions could reduce demand from import-dependent tenants and slow leasing velocity in 2026 [2]</w:t>
      </w:r>
    </w:p>
    <w:p>
      <w:pPr>
        <w:spacing w:before="40" w:after="40"/>
        <w:ind w:left="283"/>
      </w:pPr>
      <w:r>
        <w:rPr>
          <w:rFonts w:ascii="Calibri" w:hAnsi="Calibri"/>
          <w:b/>
          <w:color w:val="4A6B25"/>
          <w:sz w:val="20"/>
        </w:rPr>
        <w:t xml:space="preserve">2. </w:t>
      </w:r>
      <w:r>
        <w:rPr>
          <w:rFonts w:ascii="Calibri" w:hAnsi="Calibri"/>
          <w:b w:val="0"/>
          <w:color w:val="3A4A28"/>
          <w:sz w:val="20"/>
        </w:rPr>
        <w:t>Valuation compression at ~40x forward earnings: Any deceleration in FFO growth, occupancy normalization below 94.75%, or rising interest rates could compress the premium multiple significantly, as the stock already prices in substantial data center and rent-mark-to-market execution [1]</w:t>
      </w:r>
    </w:p>
    <w:p>
      <w:pPr>
        <w:spacing w:before="40" w:after="40"/>
        <w:ind w:left="283"/>
      </w:pPr>
      <w:r>
        <w:rPr>
          <w:rFonts w:ascii="Calibri" w:hAnsi="Calibri"/>
          <w:b/>
          <w:color w:val="4A6B25"/>
          <w:sz w:val="20"/>
        </w:rPr>
        <w:t xml:space="preserve">3. </w:t>
      </w:r>
      <w:r>
        <w:rPr>
          <w:rFonts w:ascii="Calibri" w:hAnsi="Calibri"/>
          <w:b w:val="0"/>
          <w:color w:val="3A4A28"/>
          <w:sz w:val="20"/>
        </w:rPr>
        <w:t>Data center execution risk: The pivot to data centers involves significant capital commitments in a competitive landscape where hyperscalers, dedicated data center REITs, and private developers are all expanding capacity simultaneously, creating leasing, pricing, and development cost uncertainties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Prologis faces a nuanced AI disruption profile: its physical real estate assets are inherently AI-proof in that no software can replicate the 1.3 billion square feet of strategically located logistics facilities near population centers and transportation nodes [1]. The substantial opportunity side is compelling—Prologis's land bank and proximity to power infrastructure position it as a primary beneficiary of AI data center demand, with its 5.7-gigawatt data center pipeline representing a multi-billion dollar growth vector that could redefine the company's business model over the next decade [1]. However, AI-driven supply chain optimization and inventory management could modestly reduce customers' space requirements over time, and automation reducing warehouse labor needs may decrease square footage demand per unit of throughput [2]. On balance, AI is more enabler than threat, but moderate uncertainty around long-term logistics demand dynamics prevents a higher 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Prologis Q4 and Full Year 2025 Earnings Release — 'Prologis Reports Fourth Quarter and Full Year 2025 Results,' January 21, 2026, prologis.com/insights-news/press-releases</w:t>
      </w:r>
    </w:p>
    <w:p>
      <w:pPr>
        <w:spacing w:before="20" w:after="20"/>
        <w:ind w:left="170"/>
      </w:pPr>
      <w:r>
        <w:rPr>
          <w:rFonts w:ascii="Calibri" w:hAnsi="Calibri"/>
          <w:b/>
          <w:color w:val="4A6B25"/>
          <w:sz w:val="15"/>
        </w:rPr>
        <w:t xml:space="preserve">2. </w:t>
      </w:r>
      <w:r>
        <w:rPr>
          <w:rFonts w:ascii="Calibri" w:hAnsi="Calibri"/>
          <w:b w:val="0"/>
          <w:color w:val="3A4A28"/>
          <w:sz w:val="17"/>
        </w:rPr>
        <w:t>Prologis Q4 2025 Earnings Call Highlights — Yahoo Finance / GuruFocus, 'Strong Financial Performance and Strategic Overview,' January 2026, finance.yahoo.com</w:t>
      </w:r>
    </w:p>
    <w:p>
      <w:pPr>
        <w:spacing w:before="20" w:after="20"/>
        <w:ind w:left="170"/>
      </w:pPr>
      <w:r>
        <w:rPr>
          <w:rFonts w:ascii="Calibri" w:hAnsi="Calibri"/>
          <w:b/>
          <w:color w:val="4A6B25"/>
          <w:sz w:val="15"/>
        </w:rPr>
        <w:t xml:space="preserve">3. </w:t>
      </w:r>
      <w:r>
        <w:rPr>
          <w:rFonts w:ascii="Calibri" w:hAnsi="Calibri"/>
          <w:b w:val="0"/>
          <w:color w:val="3A4A28"/>
          <w:sz w:val="17"/>
        </w:rPr>
        <w:t>Yahoo Finance — PLD key statistics, dividend history, and financial ratios,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