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PLG</w:t>
      </w:r>
      <w:r>
        <w:rPr>
          <w:rFonts w:ascii="Calibri" w:hAnsi="Calibri"/>
          <w:b/>
          <w:color w:val="1A2010"/>
          <w:sz w:val="40"/>
        </w:rPr>
        <w:t xml:space="preserve">  Platinum Group Metals Ltd.</w:t>
      </w:r>
    </w:p>
    <w:p>
      <w:pPr>
        <w:spacing w:after="120"/>
      </w:pPr>
      <w:r>
        <w:rPr>
          <w:rFonts w:ascii="Calibri" w:hAnsi="Calibri"/>
          <w:b/>
          <w:color w:val="6E8450"/>
          <w:sz w:val="18"/>
        </w:rPr>
        <w:t>GROWTH SLEEVE · 2026-04-02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Canada</w:t>
      </w:r>
    </w:p>
    <w:p>
      <w:pPr>
        <w:spacing w:after="80"/>
      </w:pPr>
      <w:r>
        <w:rPr>
          <w:rFonts w:ascii="Calibri" w:hAnsi="Calibri"/>
          <w:b w:val="0"/>
          <w:color w:val="3A4A28"/>
          <w:sz w:val="20"/>
        </w:rPr>
        <w:t>Platinum Group Metals is a development-stage mining company focused on advancing the Waterberg Project in South Africa's Bushveld Complex, one of the world's largest undeveloped platinum group metals (PGM) deposits with 23.41 million 4E ounces in mineral reserves. The company holds a 50.16% interest in the Waterberg JV and also pursues PGM battery technology research through its Lion initiative.</w:t>
      </w:r>
    </w:p>
    <w:p>
      <w:r>
        <w:rPr>
          <w:rFonts w:ascii="Calibri" w:hAnsi="Calibri"/>
          <w:b/>
          <w:color w:val="6E8450"/>
          <w:sz w:val="18"/>
        </w:rPr>
        <w:t>110 Employees · https://www.platinumgroupmetals.net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PLG completed an updated Definitive Feasibility Study showing a 20% increase in mineral reserves to 23.41M 4E ounces and an extended 54-year mine life, demonstrating project advancement — but the company remains pre-production after 24 years with zero revenue [1]. AI Deployment (0/2): No AI products or AI-driven operational improvements; PLG is a small exploration/development company with 110 employees [2]. Market Share (1/2): Waterberg is recognized as one of the largest and potentially lowest-cost underground PGM deposits globally, with an after-tax NPV of $569M and $6.50B in projected lifetime cash flows — a genuinely differentiated asset [1]. Pipeline (1/2): The Lion battery technology partnership with Valterra applies PGM catalysis to lithium-ion and lithium-sulfur battery chemistries, representing a potential diversification beyond traditional autocatalyst demand; the Saudi smelter partnership adds downstream optionality [2]. R&amp;D Intensity (1/1): Significant exploration and study spending relative to company size — $91.6M in cumulative project spend on Waterberg and active battery technology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PLG's purpose is focused on developing the Waterberg mine — the stated goal is delivering value to stakeholders through PGM extraction, which is a standard mining company mission without a broader transformative cause [2]. Community Impact (1/2): PLG has engaged with local communities near the Waterberg site and structures the JV with Mnombo (26% BEE ownership) to address South Africa's broad-based economic empowerment requirements; however, community opposition groups have filed legal challenges to the mining right and environmental authorization [3]. Employee Retention (1/2): Board average tenure of 12.6 years and management average tenure of 4.6 years suggest stability; CEO Frank Hallam's compensation of $677K is well below market average for comparable companies ($1.47M), suggesting alignment over extraction [2]. Insider Buying (1/2): CEO compensation is 49% stock-based and below market average, suggesting some alignment, but no evidence of significant discretionary insider buying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PLG is a pre-revenue development company with zero revenue, zero profit margin, and negative ROE of -7.8%, resulting in floor scores on most financial metrics [4]. D/E of 0.27% is essentially zero leverage, reflecting the equity-funded development model and scoring perfectly [1]. Forward P/E is negative (-28.6x) as analysts expect continued losses [4]. The company reported a net loss of $1.84M in Q1 FY2026 and has raised $40M through ATM share sales in 2025 with a new $60M ATM program launched in March 2026 — ongoing shareholder dilution [1]. Market cap of $230M against $91.6M cumulative project spend shows the market is pricing in future Waterberg production. Liquidity floor cleared at $7.1M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PLG operates with a largely finite mindset shaped by the mining development cycle — the 24-year journey to advance Waterberg shows patience, but strategic decisions are driven by commodity economics and financing requirements rather than a deeper organizational purpose. The BEE partnership structure and community engagement represent positive elements, but ongoing legal challenges from communities near the mine site reveal unresolved tensions.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PLG's purpose is narrowly focused on developing a single mining asset for shareholder value. The BEE partnership with Mnombo adds a social dimension, and the Lion battery technology initiative connects PGMs to the energy transition narrative, but neither constitutes a transformative cause that shapes organizational behavior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Board continuity (12.6 years average tenure) suggests stability at the governance level. CEO Frank Hallam's below-market compensation signals alignment with shareholders rather than personal extraction [2]. With 110 employees, the organization is small enough for direct leadership engagement, but limited information is available on internal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PLG does not discuss competitors in a learning-oriented way. As a single-asset developer, competitive dynamics are less relevant, but the company does not reference peers like Sibanye-Stillwater or Anglo American Platinum as worthy rivals whose strengths drive 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PLG has been a single-asset PGM development company for 24 years without a transformative pivot. The Lion battery technology initiative represents an incremental exploration of adjacent applications rather than a fundamental reinvention. The company faces the existential challenge of BEV adoption threatening PGM demand but has not demonstrated a strategic response beyond the nascent battery research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PLG has persisted through 24 years of development spending without revenue, multiple financing cycles, community opposition, and PGM price volatility — showing conviction in the Waterberg asset's long-term value. The decision to fund Implats' shortfall and increase direct ownership demonstrates opportunistic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PLG offers leveraged exposure to a world-class PGM asset — the Waterberg Project's updated DFS shows 23.41M 4E ounces in reserves, a 54-year mine life, $569M after-tax NPV, and $6.50B in projected lifetime cash flows at estimated capex of $946M [1]. The company has funded Implats' JV shortfall to increase its direct ownership to 37.32% (50.16% effective), and the 2026 ATM program provides runway for continued development spending. Analysts rate PLG with 75% bullish ratings and a consensus price target of $3.89, implying 109% upside from the current $1.86 [1]. The Lion PGM battery technology initiative adds optionality beyond traditional autocatalyst demand. Hydrogen fuel cell adoption could create new PGM demand to offset BEV-driven autocatalyst decline.</w:t>
      </w:r>
    </w:p>
    <w:p>
      <w:pPr>
        <w:spacing w:after="120"/>
      </w:pPr>
      <w:r>
        <w:rPr>
          <w:rFonts w:ascii="Calibri" w:hAnsi="Calibri"/>
          <w:b w:val="0"/>
          <w:color w:val="3A4A28"/>
          <w:sz w:val="20"/>
        </w:rPr>
        <w:t>The bear case centers on multi-year execution and financing risk. PLG has been in development for 24 years with zero revenue and requires $946M in capital to build the mine — an enormous sum for a $230M market cap company that must be raised through debt, equity, or partner financing [1]. The 2025-2026 ATM programs ($40M + $60M) continuously dilute shareholders. Community opposition and legal challenges to the mining right and environmental authorization in South Africa's High Court create permitting risk that could delay or block construction [3]. The secular decline of PGM demand from autocatalysts as BEV adoption accelerates threatens the long-term commodity price outlook for platinum and palladium. South Africa's political risk, infrastructure challenges (Eskom power reliability), and labor dynamics add country-specific risk. Implats' decision to stop funding JV cash calls signals that a major industry player sees insufficient near-term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Securing development financing and concentrate offtake agreements — would de-risk the $946M capital requirement and signal market confidence in the project's economics [1]</w:t>
      </w:r>
    </w:p>
    <w:p>
      <w:pPr>
        <w:spacing w:before="40" w:after="40"/>
        <w:ind w:left="283"/>
      </w:pPr>
      <w:r>
        <w:rPr>
          <w:rFonts w:ascii="Calibri" w:hAnsi="Calibri"/>
          <w:b/>
          <w:color w:val="4A6B25"/>
          <w:sz w:val="20"/>
        </w:rPr>
        <w:t xml:space="preserve">2. </w:t>
      </w:r>
      <w:r>
        <w:rPr>
          <w:rFonts w:ascii="Calibri" w:hAnsi="Calibri"/>
          <w:b w:val="0"/>
          <w:color w:val="3A4A28"/>
          <w:sz w:val="20"/>
        </w:rPr>
        <w:t>Resolution of community legal challenges to Waterberg mining right and environmental authorization — favorable court outcomes would clear the path to construction [3]</w:t>
      </w:r>
    </w:p>
    <w:p>
      <w:pPr>
        <w:spacing w:before="40" w:after="40"/>
        <w:ind w:left="283"/>
      </w:pPr>
      <w:r>
        <w:rPr>
          <w:rFonts w:ascii="Calibri" w:hAnsi="Calibri"/>
          <w:b/>
          <w:color w:val="4A6B25"/>
          <w:sz w:val="20"/>
        </w:rPr>
        <w:t xml:space="preserve">3. </w:t>
      </w:r>
      <w:r>
        <w:rPr>
          <w:rFonts w:ascii="Calibri" w:hAnsi="Calibri"/>
          <w:b w:val="0"/>
          <w:color w:val="3A4A28"/>
          <w:sz w:val="20"/>
        </w:rPr>
        <w:t>Hydrogen fuel cell vehicle adoption growth — would create new PGM demand to offset BEV-driven autocatalyst decline and improve long-term commodity price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gap — $946M capex requirement against $230M market cap requires transformative financing; failure to secure debt or strategic partner funding would stall the project indefinitely [1]</w:t>
      </w:r>
    </w:p>
    <w:p>
      <w:pPr>
        <w:spacing w:before="40" w:after="40"/>
        <w:ind w:left="283"/>
      </w:pPr>
      <w:r>
        <w:rPr>
          <w:rFonts w:ascii="Calibri" w:hAnsi="Calibri"/>
          <w:b/>
          <w:color w:val="4A6B25"/>
          <w:sz w:val="20"/>
        </w:rPr>
        <w:t xml:space="preserve">2. </w:t>
      </w:r>
      <w:r>
        <w:rPr>
          <w:rFonts w:ascii="Calibri" w:hAnsi="Calibri"/>
          <w:b w:val="0"/>
          <w:color w:val="3A4A28"/>
          <w:sz w:val="20"/>
        </w:rPr>
        <w:t>Community opposition and environmental litigation — High Court challenges to the Waterberg mining right and environmental authorization could delay or block construction in South Africa [3]</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PGM autocatalyst demand — BEV adoption reduces long-term platinum and palladium consumption, potentially undermining the commodity price assumptions underlying Waterberg's $569M NPV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PGM mining is a physical-world operation that AI cannot replicate — extracting platinum, palladium, and rhodium from underground deposits requires massive infrastructure, geological expertise, and regulatory compliance that are beyond AI's scope [2]. However, PLG faces indirect AI-related disruption risk: battery electric vehicle (BEV) adoption threatens long-term PGM demand from autocatalysts, which historically accounts for ~40% of platinum and ~80% of palladium demand globally [2]. The energy transition could structurally reduce demand for the commodities PLG produces, though hydrogen fuel cell vehicles (which use PGM catalysts) represent a potential offset. AI Opportunity (0/1): PLG generates no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PLG Q1 FY2026 Results and Waterberg Project Update — $1.84M net loss, $91.6M cumulative spend, 23.41M 4E ounce reserves, $946M capex, March 2026</w:t>
      </w:r>
    </w:p>
    <w:p>
      <w:pPr>
        <w:spacing w:before="20" w:after="20"/>
        <w:ind w:left="170"/>
      </w:pPr>
      <w:r>
        <w:rPr>
          <w:rFonts w:ascii="Calibri" w:hAnsi="Calibri"/>
          <w:b/>
          <w:color w:val="4A6B25"/>
          <w:sz w:val="15"/>
        </w:rPr>
        <w:t xml:space="preserve">2. </w:t>
      </w:r>
      <w:r>
        <w:rPr>
          <w:rFonts w:ascii="Calibri" w:hAnsi="Calibri"/>
          <w:b w:val="0"/>
          <w:color w:val="3A4A28"/>
          <w:sz w:val="17"/>
        </w:rPr>
        <w:t>PLG Corporate Website, Simply Wall St, BeyondSPX — Management team, Lion battery technology, analyst ratings (75% bullish, $3.89 target),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Mining and Environmental Justice Community Network of South Africa — High Court challenges to Waterberg mining right, community opposition, Digbee ESG BBB rating, 2021-2025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PLG key statistics,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