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PLTR</w:t>
      </w:r>
      <w:r>
        <w:rPr>
          <w:rFonts w:ascii="Calibri" w:hAnsi="Calibri"/>
          <w:b/>
          <w:color w:val="1A2010"/>
          <w:sz w:val="40"/>
        </w:rPr>
        <w:t xml:space="preserve">  Palantir Technologies Inc.</w:t>
      </w:r>
    </w:p>
    <w:p>
      <w:pPr>
        <w:spacing w:after="120"/>
      </w:pPr>
      <w:r>
        <w:rPr>
          <w:rFonts w:ascii="Calibri" w:hAnsi="Calibri"/>
          <w:b/>
          <w:color w:val="6E8450"/>
          <w:sz w:val="18"/>
        </w:rPr>
        <w:t>GROWTH SLEEVE · 2026-05-12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Palantir Technologies builds and deploys software platforms for government intelligence and commercial enterprises. Its products include Gotham (defense/intelligence), Foundry (commercial data integration), Apollo (software deployment), and the Artificial Intelligence Platform (AIP) which provides unified access to LLMs for operational decision-making. The company serves both U.S. government and commercial clients with AI-driven data analytics.</w:t>
      </w:r>
    </w:p>
    <w:p>
      <w:r>
        <w:rPr>
          <w:rFonts w:ascii="Calibri" w:hAnsi="Calibri"/>
          <w:b/>
          <w:color w:val="6E8450"/>
          <w:sz w:val="18"/>
        </w:rPr>
        <w:t>4,395 Employees · https://www.palantir.com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Palantir has successfully pivoted from a niche government intelligence contractor to the leading enterprise AI deployment platform, with revenue growing from $1.9B in 2022 to $4.5B in 2025 and $7.65B+ guided for 2026 [1]. The AIP platform launch in 2023 catalyzed a commercial business transformation, with U.S. commercial revenue surging 133% YoY in Q1 2026 [1]. AI Deployment (2/2): Palantir's entire business IS AI deployment—AIP enables enterprises to operationalize LLMs on their proprietary data, and Q1 2026 showed $1.63B revenue (+85% YoY) with operating margins of 46%, proving AI generates measurable client value [1]. Market Share Leadership (2/2): Palantir is the undisputed leader in enterprise AI operationalization, with remaining deal value of $11.8B (+98% YoY), and The Economist named CEO Karp 2024 CEO of the Year [1][2]. Product Pipeline (1/2): OASYS platform enhances deployment capabilities and the LivePerson-style conversational AI integrations are expanding, though specific next-gen timelines are less defined. R&amp;D Intensity (1/1): With 4,395 employees generating $4.5B+ revenue, R&amp;D intensity per employee is among the highest in enterprise software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Palantir's stated mission centers on 'building software that empowers organizations to effectively integrate their data, decisions, and operations'—clear and specific but not deeply inspirational or cause-driven. Karp's philosophical framing around protecting Western democratic institutions adds depth but is polarizing rather than universally inspiring [2]. Community Impact (1/2): The Meritocracy Fellowship program (paid engineering training for high school graduates combining philosophy/history with real-world projects) launched in 2025 is a distinctive initiative, though total charitable impact is modest relative to revenue [2]. Employee Retention (1/2): Palantir's elite-engineering culture attracts top talent, and the small headcount (4,395) relative to revenue suggests high productivity, though the intense work culture and Karp's unconventional management style create cultural variance [2]. Insider Buying (1/2): Insider activity is mixed—Peter Thiel sold $290M in shares in March 2026, offset by stock awards to officers, indicating financial realization rather than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Palantir's financial metrics are strong with notable exceptions. D/E of just 2.5% reflects a nearly debt-free balance sheet, ROE of 32.6% far exceeds the 15% target, and profit margin of 43.7% is exceptional [1]. Revenue growth of 84.7% YoY is extraordinary. However, Forward P/E of 66.3 is above the 60 floor threshold, scoring 0, and PEG of 2.05 is elevated. The 5-year revenue CAGR of ~33% easily exceeds the 10% target. Liquidity of $6.7B daily is well above the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Palantir exhibits a mix of infinite and finite game characteristics. Karp's philosophical approach to technology and democratic values, the patient 20-year build of the company before profitability, and the willingness to forgo easy commercial revenue for mission-aligned government work show infinite thinking. However, the company's competitive language often skews toward domination rather than improvement, and the dual-class share structure concentrating control raises governance questions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Palantir's cause—using technology to strengthen Western democratic institutions and empower organizations to make better decisions—is genuine and distinctive. Karp articulates it with conviction, and the company's willingness to take controversial government contracts (ICE, defense) in service of this cause demonstrates it is lived, not marketing. However, the cause is polarizing rather than universally inclusive, and its framing as 'protecting the West' limits its aspirational scope compared to truly universal causes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Palantir's elite-engineering culture with just 4,395 employees generating $4.5B+ revenue suggests high empowerment and productivity. The Meritocracy Fellowship shows investment in people. However, Karp's unconventional and intense management style, combined with the company's historically secretive culture and high-pressure environment, creates a team dynamic that works for self-selected individuals but doesn't demonstrate broad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Palantir's competitive language is decidedly finite. Karp frequently positions the company as categorically different from and superior to competitors, and management commentary emphasizes 'crushing consensus expectations' and dominance rather than learning from rivals. The company's framing of competitors like Snowflake and Databricks is dismissive rather than respectful of their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Palantir evolved from a government-only intelligence tool to a commercial AI platform, representing meaningful strategic evolution. The AIP launch in 2023 was a significant pivot that unlocked the commercial market (U.S. commercial revenue +133% YoY). However, the core technology approach—proprietary data integration and analytics—has remained fundamentally consistent for 23 years, making this evolution incremental rather than transformative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Karp made courageous decisions in taking controversial government contracts (ICE, defense agencies) despite employee and public backlash, prioritizing the company's mission over public approval. The patient 17-year path to profitability demonstrated long-term commitment. However, the dual-class share structure that gives founders outsized control protects leadership from accountability rather than demonstrating courage under market pressure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Palantir is the dominant enterprise AI deployment platform, with Q1 2026 revenue of $1.63B (+85% YoY), operating profit of $754M (+328%), and remaining deal value of $11.8B (+98%) [1]. The AIP platform has unlocked explosive commercial growth (U.S. commercial +133%), while government revenue continues accelerating (+84%). With 43.7% profit margins, near-zero debt, and management raising full-year 2026 guidance to $7.65B+ (71% growth), Palantir is executing at an extraordinary level. The Economist's selection of Karp as 2024 CEO of the Year validates the company's strategic positioning [2].</w:t>
      </w:r>
    </w:p>
    <w:p>
      <w:pPr>
        <w:spacing w:after="120"/>
      </w:pPr>
      <w:r>
        <w:rPr>
          <w:rFonts w:ascii="Calibri" w:hAnsi="Calibri"/>
          <w:b w:val="0"/>
          <w:color w:val="3A4A28"/>
          <w:sz w:val="20"/>
        </w:rPr>
        <w:t>The bear case is entirely valuation-driven: at 154x trailing P/E and 66x forward P/E, Palantir is priced for perfection with no margin for error [4]. PEG of 2.05 suggests the stock is expensive even relative to its extraordinary growth rate. Peter Thiel's $290M stock sale in March 2026 raises questions about insider conviction at current prices. The company's controversial government contracts (ICE, defense) create reputational risk and limit the addressable institutional investor base. Revenue concentration in U.S. government and a small number of large enterprise clients creates execution risk if any major contract is not renewed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of $7.65B+ (71% YoY growth) with Q2 guide of $1.8B above $1.68B consensus, suggesting continued upside momentum [1]</w:t>
      </w:r>
    </w:p>
    <w:p>
      <w:pPr>
        <w:spacing w:before="40" w:after="40"/>
        <w:ind w:left="283"/>
      </w:pPr>
      <w:r>
        <w:rPr>
          <w:rFonts w:ascii="Calibri" w:hAnsi="Calibri"/>
          <w:b/>
          <w:color w:val="4A6B25"/>
          <w:sz w:val="20"/>
        </w:rPr>
        <w:t xml:space="preserve">2. </w:t>
      </w:r>
      <w:r>
        <w:rPr>
          <w:rFonts w:ascii="Calibri" w:hAnsi="Calibri"/>
          <w:b w:val="0"/>
          <w:color w:val="3A4A28"/>
          <w:sz w:val="20"/>
        </w:rPr>
        <w:t>Remaining deal value of $11.8B (+98% YoY) provides substantial multi-year revenue visibility as contracts convert to recognized revenue [1]</w:t>
      </w:r>
    </w:p>
    <w:p>
      <w:pPr>
        <w:spacing w:before="40" w:after="40"/>
        <w:ind w:left="283"/>
      </w:pPr>
      <w:r>
        <w:rPr>
          <w:rFonts w:ascii="Calibri" w:hAnsi="Calibri"/>
          <w:b/>
          <w:color w:val="4A6B25"/>
          <w:sz w:val="20"/>
        </w:rPr>
        <w:t xml:space="preserve">3. </w:t>
      </w:r>
      <w:r>
        <w:rPr>
          <w:rFonts w:ascii="Calibri" w:hAnsi="Calibri"/>
          <w:b w:val="0"/>
          <w:color w:val="3A4A28"/>
          <w:sz w:val="20"/>
        </w:rPr>
        <w:t>U.S. commercial revenue growing 133% YoY signals that AIP enterprise adoption is still in early innings with massive TAM ahead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66x forward P/E and 154x trailing P/E leaves no room for any growth deceleration without severe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Insider selling: Peter Thiel sold $290M in shares in March 2026, raising questions about conviction at current valuation levels [4]</w:t>
      </w:r>
    </w:p>
    <w:p>
      <w:pPr>
        <w:spacing w:before="40" w:after="40"/>
        <w:ind w:left="283"/>
      </w:pPr>
      <w:r>
        <w:rPr>
          <w:rFonts w:ascii="Calibri" w:hAnsi="Calibri"/>
          <w:b/>
          <w:color w:val="4A6B25"/>
          <w:sz w:val="20"/>
        </w:rPr>
        <w:t xml:space="preserve">3. </w:t>
      </w:r>
      <w:r>
        <w:rPr>
          <w:rFonts w:ascii="Calibri" w:hAnsi="Calibri"/>
          <w:b w:val="0"/>
          <w:color w:val="3A4A28"/>
          <w:sz w:val="20"/>
        </w:rPr>
        <w:t>Government contract concentration risk: defense and intelligence agency budgets are subject to political cycles and sequestration, and controversial ICE partnerships create headline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Palantir IS an AI company—its entire product suite (AIP, Gotham, Foundry) is built on AI and data analytics. Increased AI adoption directly drives demand for Palantir's enterprise deployment platform. The company is the leading provider of AI operationalization tools for both government and commercial clients, with 85% revenue growth demonstrating that AI is the business, not a threat to it [1]. No analyst considers AI a substitution risk; the consensus is that Palantir is a primary beneficiary of enterprise AI adoption. AI Opportunity (1/1): 100% of Palantir's $1.63B Q1 2026 revenue is AI-related, from the AIP platform powering commercial enterprises to Gotham/Foundry serving defense and intelligence communities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Palantir Q1 2026 Earnings Release, May 4, 2026 — $1.63B revenue (+85% YoY), $754M operating profit, $11.8B RDV, FY2026 guidance raised to $7.65B+</w:t>
      </w:r>
    </w:p>
    <w:p>
      <w:pPr>
        <w:spacing w:before="20" w:after="20"/>
        <w:ind w:left="170"/>
      </w:pPr>
      <w:r>
        <w:rPr>
          <w:rFonts w:ascii="Calibri" w:hAnsi="Calibri"/>
          <w:b/>
          <w:color w:val="4A6B25"/>
          <w:sz w:val="15"/>
        </w:rPr>
        <w:t xml:space="preserve">2. </w:t>
      </w:r>
      <w:r>
        <w:rPr>
          <w:rFonts w:ascii="Calibri" w:hAnsi="Calibri"/>
          <w:b w:val="0"/>
          <w:color w:val="3A4A28"/>
          <w:sz w:val="17"/>
        </w:rPr>
        <w:t>Alex Karp Leadership Profile — Quartr, Alpha Spread, TIME 100 Most Influential in AI, The Economist 2024 CEO of the Year</w:t>
      </w:r>
    </w:p>
    <w:p>
      <w:pPr>
        <w:spacing w:before="20" w:after="20"/>
        <w:ind w:left="170"/>
      </w:pPr>
      <w:r>
        <w:rPr>
          <w:rFonts w:ascii="Calibri" w:hAnsi="Calibri"/>
          <w:b/>
          <w:color w:val="4A6B25"/>
          <w:sz w:val="15"/>
        </w:rPr>
        <w:t xml:space="preserve">3. </w:t>
      </w:r>
      <w:r>
        <w:rPr>
          <w:rFonts w:ascii="Calibri" w:hAnsi="Calibri"/>
          <w:b w:val="0"/>
          <w:color w:val="3A4A28"/>
          <w:sz w:val="17"/>
        </w:rPr>
        <w:t>Palantir ESG Analysis — Sustainalytics, Business &amp; Human Rights Resource Centre, Amnesty International ICE partnership critique</w:t>
      </w:r>
    </w:p>
    <w:p>
      <w:pPr>
        <w:spacing w:before="20" w:after="20"/>
        <w:ind w:left="170"/>
      </w:pPr>
      <w:r>
        <w:rPr>
          <w:rFonts w:ascii="Calibri" w:hAnsi="Calibri"/>
          <w:b/>
          <w:color w:val="4A6B25"/>
          <w:sz w:val="15"/>
        </w:rPr>
        <w:t xml:space="preserve">4. </w:t>
      </w:r>
      <w:r>
        <w:rPr>
          <w:rFonts w:ascii="Calibri" w:hAnsi="Calibri"/>
          <w:b w:val="0"/>
          <w:color w:val="3A4A28"/>
          <w:sz w:val="17"/>
        </w:rPr>
        <w:t>Yahoo Finance — PLTR key statistics and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