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PLYX</w:t>
      </w:r>
      <w:r>
        <w:rPr>
          <w:rFonts w:ascii="Calibri" w:hAnsi="Calibri"/>
          <w:b/>
          <w:color w:val="1A2010"/>
          <w:sz w:val="40"/>
        </w:rPr>
        <w:t xml:space="preserve">  Polaryx Therapeutics, Inc.</w:t>
      </w:r>
    </w:p>
    <w:p>
      <w:pPr>
        <w:spacing w:after="120"/>
      </w:pPr>
      <w:r>
        <w:rPr>
          <w:rFonts w:ascii="Calibri" w:hAnsi="Calibri"/>
          <w:b/>
          <w:color w:val="6E8450"/>
          <w:sz w:val="18"/>
        </w:rPr>
        <w:t>GROWTH SLEEVE · 2026-04-10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Polaryx Therapeutics is a clinical-stage biotechnology company focused on developing disease-modifying therapies for rare and pediatric lysosomal storage disorders (LSDs). Its lead candidate PLX-200 is a PPARα agonist entering Phase 2 trials (SOTERIA) targeting CLN2, CLN3, Krabbe Disease, and Sandhoff Disease, with three orphan drug designations and Fast Track status from the FDA.</w:t>
      </w:r>
    </w:p>
    <w:p>
      <w:r>
        <w:rPr>
          <w:rFonts w:ascii="Calibri" w:hAnsi="Calibri"/>
          <w:b/>
          <w:color w:val="6E8450"/>
          <w:sz w:val="18"/>
        </w:rPr>
        <w:t>2 Employees · https://polaryx.com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Polaryx secured FDA IND clearance for PLX-200 in October 2025 and completed a direct listing on NASDAQ in February 2026, but has no commercial products or revenue to date [1][2]. AI Deployment (0/2): No evidence of AI-powered drug discovery tools or AI deployment in clinical operations; the company relies on traditional small molecule and gene therapy approaches [2]. Market Share (1/2): Polaryx targets underserved lysosomal storage disorders affecting ~1 in 5,000 live births with no approved treatments for many variants, giving it orphan drug designations across three indications and potential first-mover advantage in CLN2/CLN3 [2]. Pipeline (1/2): PLX-200 SOTERIA Phase 2 basket trial set to initiate H2 2026 with FDA Fast Track designation for CLN2 and CLN3; PLX-100, PLX-300, and PLX-400 gene therapy remain preclinical [2]. R&amp;D Intensity (1/1): As a clinical-stage biotech with 2 employees and zero revenue, essentially 100% of spending is R&amp;D-directed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Polaryx's mission to 'accelerate the availability of treatment options for underserved patients' with rare lysosomal storage disorders is specific, purposeful, and connects to a genuine unmet medical need affecting children — this is thoughtful and differentiated from generic pharma missions [2]. Community Impact (1/2): The company targets rare pediatric diseases with no approved treatments, which has inherent charitable purpose, though no formal community programs or foundations exist given the 2-person team [2]. Employee Retention (0/2): With only 2 full-time employees, no meaningful retention data exists to evaluate [1]. Insider Buying (0/2): No evidence of insider buying found; as a recently direct-listed micro-cap, insider transaction data is minimal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Polaryx is a pre-revenue clinical-stage biotech with zero commercial products. ROE of -193.7% reflects the cash-burning nature of early-stage drug development with only $5.1M in total cash [1]. Profit margin is 0% with no revenue generated. No debt on the balance sheet ($0 total debt), but the extremely limited cash position raises going-concern risk as the SOTERIA Phase 2 trial will require significant capital [1]. Forward P/E and PEG ratios are unavailable due to negative earnings and no analyst coverage. Liquidity floor is passed at $14.4M daily dollar volume (2.5M avg vol × $5.76), but all available financial metrics score at floor levels, yielding a mechanical infrastructure score of 0/10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Polaryx displays elements of infinite game thinking through its commitment to underserved rare disease patients and long-term drug development timelines, but the company is too early-stage to have been tested through cycles of adversity or strategic pivots.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Developing treatments for children with rare lysosomal storage disorders that currently have no approved therapies is a genuine just cause — the mission to 'accelerate the availability of treatment options for underserved patients' connects directly to alleviating suffering [2]. However, the company is too young and unproven to have validated this cause through decades of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2 full-time employees and a small leadership team including CEO Alex Yang, CMO Dr. Lisa Bollinger, and CSO Hahn-Jun Lee, the organization is too small to meaningfully evaluate team trust dynamics [3]. Recent board expansion in January 2026 added scientific and financial expertise, suggesting deliberate capability building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found of management acknowledging worthy rivals or competitive dynamics in the rare disease space. The company positions itself as addressing unmet needs rather than competing with established players, but this may reflect the orphan drug landscape rather than infinite game thinking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Polaryx's multi-modal pipeline approach (small molecules PLX-100/200/300 plus gene therapy PLX-400) suggests some strategic flexibility, and the basket trial design allows testing across multiple indications simultaneously [2]. However, the company has not yet faced a genuine strategic crossroads requiring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Pursuing rare pediatric diseases with no approved treatments demonstrates courage — the market is small and the development path is long with high failure rates [2]. The decision to pursue a direct listing rather than traditional IPO shows some unconventional thinking, though this may also reflect limited fundraising options for a micro-cap biotech.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Polaryx Therapeutics targets a genuine unmet medical need — rare pediatric lysosomal storage disorders affecting ~1 in 5,000 live births with no approved treatments for many variants [2]. The lead candidate PLX-200 has FDA Fast Track designation for CLN2 and CLN3, three orphan drug designations, and is entering a Phase 2 SOTERIA basket trial in H2 2026 [2]. The regulatory pathway (505(b)(2)) for PLX-200 as a repurposed molecule could reduce development costs and timelines relative to novel drug development. If successful, orphan drug exclusivity and limited competition in these ultra-rare indications could provide meaningful pricing power.</w:t>
      </w:r>
    </w:p>
    <w:p>
      <w:pPr>
        <w:spacing w:after="120"/>
      </w:pPr>
      <w:r>
        <w:rPr>
          <w:rFonts w:ascii="Calibri" w:hAnsi="Calibri"/>
          <w:b w:val="0"/>
          <w:color w:val="3A4A28"/>
          <w:sz w:val="20"/>
        </w:rPr>
        <w:t>The bear case is severe for this pre-revenue micro-cap. Polaryx has only $5.1M in cash with 2 full-time employees, and the Phase 2 trial will require substantial additional capital — dilutive financing is virtually certain [1]. Clinical-stage biotech failure rates exceed 90%, and Phase 2 trials in rare pediatric populations face unique recruitment and endpoint challenges. No revenue, no earnings, and no analyst coverage make valuation nearly impossible. The stock has minimal institutional ownership and is subject to extreme volatility. Going-concern risk is real if the company cannot raise capital on acceptable terms before the SOTERIA trial reads 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PLX-200 SOTERIA Phase 2 basket trial initiation in H2 2026 targeting CLN2, CLN3, Krabbe Disease, and Sandhoff Disease [2]</w:t>
      </w:r>
    </w:p>
    <w:p>
      <w:pPr>
        <w:spacing w:before="40" w:after="40"/>
        <w:ind w:left="283"/>
      </w:pPr>
      <w:r>
        <w:rPr>
          <w:rFonts w:ascii="Calibri" w:hAnsi="Calibri"/>
          <w:b/>
          <w:color w:val="4A6B25"/>
          <w:sz w:val="20"/>
        </w:rPr>
        <w:t xml:space="preserve">2. </w:t>
      </w:r>
      <w:r>
        <w:rPr>
          <w:rFonts w:ascii="Calibri" w:hAnsi="Calibri"/>
          <w:b w:val="0"/>
          <w:color w:val="3A4A28"/>
          <w:sz w:val="20"/>
        </w:rPr>
        <w:t>Potential partnership or licensing deal with a larger rare disease company to fund clinical development and reduce dilution risk</w:t>
      </w:r>
    </w:p>
    <w:p>
      <w:pPr>
        <w:spacing w:before="40" w:after="40"/>
        <w:ind w:left="283"/>
      </w:pPr>
      <w:r>
        <w:rPr>
          <w:rFonts w:ascii="Calibri" w:hAnsi="Calibri"/>
          <w:b/>
          <w:color w:val="4A6B25"/>
          <w:sz w:val="20"/>
        </w:rPr>
        <w:t xml:space="preserve">3. </w:t>
      </w:r>
      <w:r>
        <w:rPr>
          <w:rFonts w:ascii="Calibri" w:hAnsi="Calibri"/>
          <w:b w:val="0"/>
          <w:color w:val="3A4A28"/>
          <w:sz w:val="20"/>
        </w:rPr>
        <w:t>Additional orphan drug or rare pediatric disease designations for pipeline candidates PLX-100, PLX-300, or PLX-400 gene therapy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 $5.1M cash is insufficient to fund Phase 2 trials, making dilutive financing imminent and potentially severe for a micro-cap [1]</w:t>
      </w:r>
    </w:p>
    <w:p>
      <w:pPr>
        <w:spacing w:before="40" w:after="40"/>
        <w:ind w:left="283"/>
      </w:pPr>
      <w:r>
        <w:rPr>
          <w:rFonts w:ascii="Calibri" w:hAnsi="Calibri"/>
          <w:b/>
          <w:color w:val="4A6B25"/>
          <w:sz w:val="20"/>
        </w:rPr>
        <w:t xml:space="preserve">2. </w:t>
      </w:r>
      <w:r>
        <w:rPr>
          <w:rFonts w:ascii="Calibri" w:hAnsi="Calibri"/>
          <w:b w:val="0"/>
          <w:color w:val="3A4A28"/>
          <w:sz w:val="20"/>
        </w:rPr>
        <w:t>Clinical trial failure — Phase 2 trials in ultra-rare pediatric populations face recruitment challenges and high failure rates exceeding 90% for clinical-stage biotechs</w:t>
      </w:r>
    </w:p>
    <w:p>
      <w:pPr>
        <w:spacing w:before="40" w:after="40"/>
        <w:ind w:left="283"/>
      </w:pPr>
      <w:r>
        <w:rPr>
          <w:rFonts w:ascii="Calibri" w:hAnsi="Calibri"/>
          <w:b/>
          <w:color w:val="4A6B25"/>
          <w:sz w:val="20"/>
        </w:rPr>
        <w:t xml:space="preserve">3. </w:t>
      </w:r>
      <w:r>
        <w:rPr>
          <w:rFonts w:ascii="Calibri" w:hAnsi="Calibri"/>
          <w:b w:val="0"/>
          <w:color w:val="3A4A28"/>
          <w:sz w:val="20"/>
        </w:rPr>
        <w:t>No revenue, no institutional ownership, and extreme illiquidity risk despite passing the daily dollar volume floor — the stock is subject to speculative volatility disconnected from fundamentals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Polaryx operates in rare disease drug development involving complex clinical trials, FDA regulatory processes, and physical molecule manufacturing — activities that AI cannot substitute [2]. Lysosomal storage disorder therapeutics require hands-on clinical work with pediatric patients and specialized manufacturing that is structurally immune to AI displacement. The regulatory pathway (505(b)(2), orphan drug designations, Fast Track) creates additional barriers that AI tools cannot bypass. AI Opportunity (0/1): No evidence of AI-driven drug discovery, computational biology platforms, or AI-generated revenue. The company uses traditional preclinical and clinical approaches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yfinance data for PLYX (Polaryx Therapeutics), retrieved April 10, 2026</w:t>
      </w:r>
    </w:p>
    <w:p>
      <w:pPr>
        <w:spacing w:before="20" w:after="20"/>
        <w:ind w:left="170"/>
      </w:pPr>
      <w:r>
        <w:rPr>
          <w:rFonts w:ascii="Calibri" w:hAnsi="Calibri"/>
          <w:b/>
          <w:color w:val="4A6B25"/>
          <w:sz w:val="15"/>
        </w:rPr>
        <w:t xml:space="preserve">2. </w:t>
      </w:r>
      <w:r>
        <w:rPr>
          <w:rFonts w:ascii="Calibri" w:hAnsi="Calibri"/>
          <w:b w:val="0"/>
          <w:color w:val="3A4A28"/>
          <w:sz w:val="17"/>
        </w:rPr>
        <w:t>Polaryx Therapeutics corporate website — pipeline, mission, and SOTERIA trial information,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GlobeNewsWire — Polaryx Therapeutics board of directors expansion announcement, February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