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PMT</w:t>
      </w:r>
      <w:r>
        <w:rPr>
          <w:rFonts w:ascii="Calibri" w:hAnsi="Calibri"/>
          <w:b/>
          <w:color w:val="1A2010"/>
          <w:sz w:val="40"/>
        </w:rPr>
        <w:t xml:space="preserve">  PennyMac Mortgage Investment Trust</w:t>
      </w:r>
    </w:p>
    <w:p>
      <w:pPr>
        <w:spacing w:after="120"/>
      </w:pPr>
      <w:r>
        <w:rPr>
          <w:rFonts w:ascii="Calibri" w:hAnsi="Calibri"/>
          <w:b/>
          <w:color w:val="6E8450"/>
          <w:sz w:val="18"/>
        </w:rPr>
        <w:t>DIVIDEND SLEEVE · 2026-05-01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PennyMac Mortgage Investment Trust is a specialty finance company that invests primarily in residential mortgage-related assets through credit risk transfer agreements, mortgage servicing rights, agency and non-agency MBS, and correspondent loan production, operating as a REIT externally managed by PNMAC Capital Management.</w:t>
      </w:r>
    </w:p>
    <w:p>
      <w:r>
        <w:rPr>
          <w:rFonts w:ascii="Calibri" w:hAnsi="Calibri"/>
          <w:b/>
          <w:color w:val="6E8450"/>
          <w:sz w:val="18"/>
        </w:rPr>
        <w:t>https://pmt.pennymac.com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PMT has incrementally expanded its credit-sensitive strategies segment and invested in mortgage servicing rights as a hedge against rising rates, but these represent standard mREIT asset allocation shifts rather than transformative product launches [1]. AI Deployment (1/2): PennyMac appointed a Chief Digital Officer (Jim Follette) to pursue digital innovations and prepare for AI's impact on the mortgage industry, indicating early-stage AI adoption for loan processing and servicing automation [3]. Market Share Leadership (1/2): PMT operates through PennyMac Financial Services (PFSI), one of the largest non-bank mortgage correspondents in the U.S., with meaningful scale in correspondent lending though not a category-defining leader [1]. Product Pipeline (0/2): No next-generation products or new business lines announced with specific timelines. R&amp;D Intensity (0/1): As a mortgage REIT, R&amp;D is not a meaningful category — the company invests in operational technology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PennyMac's mission to 'fulfill the dream of homeownership for families across America' is generic and interchangeable with virtually any mortgage company [2]. Community &amp; Charitable Impact (1/2): PennyMac has general community engagement programs but no evidence of distinctive, large-scale philanthropic initiatives with specific dollar amounts or measurable community impact. Employee Retention (0/2): Glassdoor rating of 3.0/5 with reviews describing executive management as 'incredibly toxic' and a culture where 'terrible management' drowns out positive efforts — suggesting below-average retention environment [3]. Insider Buying (1/2): No evidence of significant net insider buying by CEO David Spector or other executives in the past 12 months; management compensation is primarily through the external management agreement with PNMAC Capital Management.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PMT trades at a compelling 7.3x forward P/E with a 13.1% dividend yield, reflecting deep value characteristics for income investors [2]. Revenue grew 43% in FY2025 to $721M driven by favorable correspondent production volumes, and analysts project $139M in earnings for 2026 (EPS $1.60) versus $86M in 2025 [1]. However, the structural leverage inherent to mortgage REITs produces a D/E ratio of 1,014% — standard for the industry but scoring poorly on a universal metric [2]. ROE of 6.7% is modest for such high leverage, and the payout ratio exceeds 100% (dividend of $1.60 vs. EPS of $0.99), raising sustainability concerns despite ~15 consecutive years of dividend payments [1][2]. Dividend growth has been essentially flat over 5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PennyMac demonstrates durability through 15+ years of continuous operation and dividend payments since its 2009 founding, navigating multiple interest rate cycles and the COVID mortgage crisis. However, the externally managed REIT structure creates inherent conflicts of interest between management fees and shareholder returns, and the company's competitive posture focuses on scale and market share rather than a distinctive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PennyMac's stated purpose of expanding homeownership through correspondent lending and mortgage investment is functional but lacks distinctive vision — it describes what the company does, not a future state worth sacrificing for [2]. The REIT structure itself is designed to distribute income, not reinvest in a transformative cause. No evidence of leadership articulating why PennyMac exists beyond generating returns for shareholders through mortgage investments.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with a 3.0/5 rating and multiple reviews describing executive management as 'poisonous' and 'toxic,' with culture efforts undermined by poor management practices [3]. The external management structure through PNMAC Capital Management further distances leadership from operational employees. These indicators suggest a low-trust environment where employees may prioritize self-protection over organizational mission.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PennyMac operates in a competitive mortgage REIT landscape alongside Annaly Capital, AGNC Investment, and Two Harbors, and management discusses competitive positioning in terms of building operational capabilities and improving correspondent lending processes rather than language focused on defeating rivals [1]. The company's strategy emphasizes developing its own servicing and production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PMT has shown incremental strategic evolution, shifting portfolio mix between credit-sensitive strategies, interest rate-sensitive strategies, and correspondent production based on the rate environment — moving toward MSR-heavy positioning as rates rose in 2022-2024 [1]. These are responsive asset allocation shifts rather than transformative business model pivots, but they demonstrate willingness to adapt within the mortgage REIT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PMT maintained its dividend through challenging rate environments and navigated the COVID-era mortgage volatility without cutting distributions to zero, though the dividend has been reduced from higher historical levels [1]. The appointment of a Chief Digital Officer to invest in technological capabilities ahead of AI disruption shows forward-looking investment, but no evidence of significant costly bets that sacrificed near-term earnings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PMT offers a compelling income proposition at a 13.1% dividend yield and 0.79x price-to-book value, with analysts projecting a 62% earnings recovery to $1.60 EPS in 2026 from $0.99 in 2025, driven by improving correspondent production volumes and potential rate cut tailwinds for MSR portfolio positioning [1][2]. The 7.3x forward P/E represents significant discount to book value, and PennyMac's scale as one of the largest U.S. non-bank correspondent lenders provides structural advantages in loan acquisition costs and servicing efficiency.</w:t>
      </w:r>
    </w:p>
    <w:p>
      <w:pPr>
        <w:spacing w:after="120"/>
      </w:pPr>
      <w:r>
        <w:rPr>
          <w:rFonts w:ascii="Calibri" w:hAnsi="Calibri"/>
          <w:b w:val="0"/>
          <w:color w:val="3A4A28"/>
          <w:sz w:val="20"/>
        </w:rPr>
        <w:t>The bear case centers on structural vulnerabilities: the 1,014% D/E ratio (standard for mREITs but creating binary risk in credit stress scenarios), a payout ratio exceeding 160% that is unsustainable at current earnings levels without improvement, and the external management structure that charges fees regardless of shareholder returns [1][2]. Interest rate sensitivity remains the dominant risk — PMT's earnings swing dramatically with rate movements, and a sustained 'higher for longer' environment could compress correspondent production volumes while increasing hedging costs. The 3.0/5 Glassdoor rating and toxic culture descriptions raise operational execution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in 2026 would boost mortgage origination volumes and increase the value of PMT's correspondent production segment, potentially driving EPS above the $1.72 high-end analyst estimate</w:t>
      </w:r>
    </w:p>
    <w:p>
      <w:pPr>
        <w:spacing w:before="40" w:after="40"/>
        <w:ind w:left="283"/>
      </w:pPr>
      <w:r>
        <w:rPr>
          <w:rFonts w:ascii="Calibri" w:hAnsi="Calibri"/>
          <w:b/>
          <w:color w:val="4A6B25"/>
          <w:sz w:val="20"/>
        </w:rPr>
        <w:t xml:space="preserve">2. </w:t>
      </w:r>
      <w:r>
        <w:rPr>
          <w:rFonts w:ascii="Calibri" w:hAnsi="Calibri"/>
          <w:b w:val="0"/>
          <w:color w:val="3A4A28"/>
          <w:sz w:val="20"/>
        </w:rPr>
        <w:t>Earnings recovery to projected $1.60 EPS in 2026 would reduce the payout ratio to ~100% from 162%, improving dividend sustainability and potentially driving share price toward book value of $15.47</w:t>
      </w:r>
    </w:p>
    <w:p>
      <w:pPr>
        <w:spacing w:before="40" w:after="40"/>
        <w:ind w:left="283"/>
      </w:pPr>
      <w:r>
        <w:rPr>
          <w:rFonts w:ascii="Calibri" w:hAnsi="Calibri"/>
          <w:b/>
          <w:color w:val="4A6B25"/>
          <w:sz w:val="20"/>
        </w:rPr>
        <w:t xml:space="preserve">3. </w:t>
      </w:r>
      <w:r>
        <w:rPr>
          <w:rFonts w:ascii="Calibri" w:hAnsi="Calibri"/>
          <w:b w:val="0"/>
          <w:color w:val="3A4A28"/>
          <w:sz w:val="20"/>
        </w:rPr>
        <w:t>Potential conversion from external to internal management structure would align management incentives with shareholders and eliminate the management fee drag on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162% is unsustainable at current earnings — a dividend cut would collapse the income thesis and likely trigger significant selling from retail income investors</w:t>
      </w:r>
    </w:p>
    <w:p>
      <w:pPr>
        <w:spacing w:before="40" w:after="40"/>
        <w:ind w:left="283"/>
      </w:pPr>
      <w:r>
        <w:rPr>
          <w:rFonts w:ascii="Calibri" w:hAnsi="Calibri"/>
          <w:b/>
          <w:color w:val="4A6B25"/>
          <w:sz w:val="20"/>
        </w:rPr>
        <w:t xml:space="preserve">2. </w:t>
      </w:r>
      <w:r>
        <w:rPr>
          <w:rFonts w:ascii="Calibri" w:hAnsi="Calibri"/>
          <w:b w:val="0"/>
          <w:color w:val="3A4A28"/>
          <w:sz w:val="20"/>
        </w:rPr>
        <w:t>Mortgage REIT leverage of 1,014% D/E creates existential risk in a credit stress scenario where counterparty defaults or mark-to-market losses exceed equity cushion</w:t>
      </w:r>
    </w:p>
    <w:p>
      <w:pPr>
        <w:spacing w:before="40" w:after="40"/>
        <w:ind w:left="283"/>
      </w:pPr>
      <w:r>
        <w:rPr>
          <w:rFonts w:ascii="Calibri" w:hAnsi="Calibri"/>
          <w:b/>
          <w:color w:val="4A6B25"/>
          <w:sz w:val="20"/>
        </w:rPr>
        <w:t xml:space="preserve">3. </w:t>
      </w:r>
      <w:r>
        <w:rPr>
          <w:rFonts w:ascii="Calibri" w:hAnsi="Calibri"/>
          <w:b w:val="0"/>
          <w:color w:val="3A4A28"/>
          <w:sz w:val="20"/>
        </w:rPr>
        <w:t>Persistent 'higher for longer' interest rate environment would suppress refinancing volumes, reduce correspondent production margins, and increase hedging costs, extending the earnings recovery timeline beyond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PMT's core business of investing in mortgage-related credit instruments, servicing rights, and correspondent loan production involves complex regulatory frameworks (Dodd-Frank, GSE requirements, state licensing), structured financial products, and relationship-based correspondent lending channels that AI cannot directly substitute [1]. The mortgage REIT model requires human judgment on credit risk, interest rate positioning, and portfolio construction where AI assists but does not replace. While AI could automate portions of loan processing and underwriting at the operational level, PMT's value creation is in portfolio-level investment decisions. AI Opportunity (0/1): The CDO appointment signals preparedness for AI-driven efficiency gains in mortgage servicing, but no AI-generated revenue has been 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PennyMac Mortgage Investment Trust Q4/FY2025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PMT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PennyMac employee reviews and company culture,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