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w:t>
      </w:r>
      <w:r>
        <w:rPr>
          <w:rFonts w:ascii="Calibri" w:hAnsi="Calibri"/>
          <w:b/>
          <w:color w:val="1A2010"/>
          <w:sz w:val="40"/>
        </w:rPr>
        <w:t xml:space="preserve">  Philip Morris International Inc.</w:t>
      </w:r>
    </w:p>
    <w:p>
      <w:pPr>
        <w:spacing w:after="120"/>
      </w:pPr>
      <w:r>
        <w:rPr>
          <w:rFonts w:ascii="Calibri" w:hAnsi="Calibri"/>
          <w:b/>
          <w:color w:val="6E8450"/>
          <w:sz w:val="18"/>
        </w:rPr>
        <w:t>DIVIDEND SLEEVE · 2026-03-31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States</w:t>
      </w:r>
    </w:p>
    <w:p>
      <w:pPr>
        <w:spacing w:after="80"/>
      </w:pPr>
      <w:r>
        <w:rPr>
          <w:rFonts w:ascii="Calibri" w:hAnsi="Calibri"/>
          <w:b w:val="0"/>
          <w:color w:val="3A4A28"/>
          <w:sz w:val="20"/>
        </w:rPr>
        <w:t>Philip Morris International Inc. is the world's largest publicly traded tobacco company, manufacturing and selling cigarettes and smoke-free products including heat-not-burn (IQOS), e-vapor (VEEV), and oral nicotine (ZYN) products globally. The company is headquartered in Stamford, Connecticut.</w:t>
      </w:r>
    </w:p>
    <w:p>
      <w:r>
        <w:rPr>
          <w:rFonts w:ascii="Calibri" w:hAnsi="Calibri"/>
          <w:b/>
          <w:color w:val="6E8450"/>
          <w:sz w:val="18"/>
        </w:rPr>
        <w:t>84,900 Employees · https://www.pmi.com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PMI has executed one of the most significant product pivots in consumer goods history, transitioning from cigarettes to smoke-free products (IQOS, ZYN) that now generate nearly $17B or ~42% of net revenue, with smoke-free shipment volumes growing 12.8% in 2025 [1]. AI Deployment (1/2): PMI won Forrester's 2025 Enterprise Architecture Award for EMEA by embedding AI across every business unit with dedicated AI leads and measurable impact targets, including supply chain optimization and hyper-personalized consumer interaction — though specific revenue or cost savings figures were not disclosed [3]. Market Share Leadership (2/2): IQOS is the dominant global heat-not-burn product and ZYN is the leading oral nicotine pouch brand in the U.S.; PMI holds category-defining market share in both segments [1][2]. Product Pipeline (1/2): Continued geographic expansion of IQOS and ZYN with guided 5-7% organic revenue growth in 2026, but no transformative next-generation products beyond incremental improvements to existing platforms [1]. R&amp;D Intensity (1/1): 99% of R&amp;D expenditure dedicated to smoke-free products, representing industry-leading commitment to product transformation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PMI's mission to 'deliver a smoke-free future' is specific, bold, and demonstrably shapes strategic decisions — 99% of R&amp;D allocated to smoke-free products, with management explicitly targeting the obsolescence of their most profitable product (cigarettes) [4]. This differentiates from generic tobacco peers and has been validated by the $17B smoke-free revenue stream. However, skeptics argue this is fundamentally a profit pivot rather than a genuine cause, given the company continues to sell billions of cigarettes. Community &amp; Charitable Impact (0/2): PMI's community impact is deeply negative — the tobacco epidemic kills 8M people annually, child labor persists in tobacco supply chains (acknowledged by the CEO), and the company's products generate an estimated 1M tonnes of product waste annually [5]. Employee Retention (1/2): Glassdoor 3.9/5 with 77% recommendation rate and compensation rated 4.3/5 is above-average; employees cite culture and career development as strengths [3]. Insider Buying (0/2): No evidence of meaningful net insider buying by CEO Olczak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PMI scores well on profitability: Forward P/E of 18.0 is below the 20 target (score 1.0), profit margin of 27.9% exceeds the 20% target (score 1.0), and consecutive years paid (~17 years since 2008 spinoff) scores 1.0 at 2x weight [6]. Revenue growth is moderate: 6.8% YoY (score 0.89) and ~7% 5yr CAGR (score 0.80). Dividend growth is the key weakness: 5yr CAGR of ~2.4% is well below the 6% target (score 0.40, 2x weight), and payout ratio of 77.7% is elevated (score 0.37) [6]. D/E and ROE are unavailable (negative stockholders' equity from cumulative buybacks), excluded from calculation. Weighted sum 7.87 / max 10.0 = 7.87,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PMI demonstrates remarkable infinite game qualities — the commitment to cannibalizing its own $23B cigarette business in service of a smoke-free future is among the most courageous strategic pivots in corporate history. The Just Cause is genuine and drives resource allocation. However, the paradox of continuing to profit from billions of cigarette sales while claiming a smoke-free mission, combined with finite competitive language, prevents a full INFINITE rating.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'Delivering a smoke-free future' is a genuine, distinctive purpose that has shaped billions in R&amp;D investment (99% allocated to smoke-free), driven the company to actively cannibalize its most profitable product line, and attracted employees who cite the transformation mission as motivating [4]. The cause has survived multiple years of execution and increasing strategic commitment. However, PMI continues to sell billions of cigarettes annually, creating a fundamental tension that prevents this from being a fully validated Just Cause — the ultimate test (exiting combustibles entirely) remains unmet.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PMI's Glassdoor rating of 3.9/5 with 77% recommendation rate and Comparably executive team rating in the top 15% of large companies suggest an above-average trust environment [3]. Employees cite culture and career development as strengths, and the 84,900-person global workforce has demonstrated stability through the smoke-free transformation. However, some employees cite poor work-life balance and inconsistent management quality, preventing a top-tier trust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PMI's competitive language is consistently finite — focused on 'dominance,' 'market capture,' and being the 'largest' tobacco company [2]. No evidence of management citing British American Tobacco, Japan Tobacco, or nicotine alternative competitors as worthy rivals whose strengths push PMI to improve. The AI strategy is framed as building 'dominance' through a self-reinforcing flywheel, not as learning from competitors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PMI is executing one of the most transformative strategic pivots in corporate history — actively cannibalizing a $23B+ cigarette business by investing billions in smoke-free alternatives (IQOS, ZYN) that now generate nearly $17B in revenue [1]. The company has allocated 99% of R&amp;D to smoke-free products and explicitly targets making cigarettes obsolete [4]. This is a textbook Sinek example: abandoning what's working today (highly profitable cigarettes) in service of what the cause demands tomorrow (a smoke-free future). The pivot has been painful (years of heavy investment, margin pressure) but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PMI's leadership has made multiple costly long-term bets in service of the smoke-free vision: investing billions in IQOS development and global rollout, allocating 99% of R&amp;D away from the core cigarette business, acquiring Swedish Match for $16B to add ZYN, and accepting lower near-term margins during the transition [1][4]. The 2025 results — 15% adjusted EPS growth and operating margins returning above 40% — validate that this courage is bearing fruit. CEO Olczak has publicly stated the goal of making cigarettes obsolete, a statement that directly threatens the company's largest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Philip Morris International is executing a best-in-class transformation from combustible tobacco to smoke-free products, with IQOS and ZYN now generating ~$17B (42% of net revenue) and growing at 15% organically [1]. The company guided 2026 adjusted diluted EPS of $8.39-$8.54 (11-13% growth), organic revenue growth of 5-7%, and operating cash flow of ~$13.5B, with leverage declining toward 2x by year-end [1]. At 18x forward earnings with a 3.57% dividend yield and 27.9% profit margin, PMI offers a rare combination of defensive income, growth from the smoke-free pivot, and improving capital returns as the transformation becomes increasingly profitable — operating margins returned above 40% in 2025 [1].</w:t>
      </w:r>
    </w:p>
    <w:p>
      <w:pPr>
        <w:spacing w:after="120"/>
      </w:pPr>
      <w:r>
        <w:rPr>
          <w:rFonts w:ascii="Calibri" w:hAnsi="Calibri"/>
          <w:b w:val="0"/>
          <w:color w:val="3A4A28"/>
          <w:sz w:val="20"/>
        </w:rPr>
        <w:t>The bear case centers on the fundamental ethical and financial paradox of the tobacco business. PMI's products contribute to 8M annual deaths worldwide, and the company's high ESG ratings despite this reality have drawn criticism of ESG gaming [5]. The payout ratio of 77.7% leaves limited room for dividend growth (2.4% 5yr CAGR), and negative stockholders' equity from cumulative buybacks makes the balance sheet opaque [6]. Transitory headwinds include Japan heat-not-burn excise hikes, U.S. ZYN inventory normalization, and ~3% combustible volume declines [1]. Long-term, increasing nicotine regulation globally — particularly potential bans on flavored products or nicotine caps — could threaten both legacy cigarettes and the smoke-free franchise that underpins the growth thesis. The Inspire Impact Score of -53 (MISALIGNED) reflects the fundamental tension of investing in a tobacco company regardless of its transformation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smoke-free revenue growth toward PMI's medium-term target of 6-8% organic revenue CAGR through 2028, driven by IQOS geographic expansion and ZYN U.S. market penetration [1]</w:t>
      </w:r>
    </w:p>
    <w:p>
      <w:pPr>
        <w:spacing w:before="40" w:after="40"/>
        <w:ind w:left="283"/>
      </w:pPr>
      <w:r>
        <w:rPr>
          <w:rFonts w:ascii="Calibri" w:hAnsi="Calibri"/>
          <w:b/>
          <w:color w:val="4A6B25"/>
          <w:sz w:val="20"/>
        </w:rPr>
        <w:t xml:space="preserve">2. </w:t>
      </w:r>
      <w:r>
        <w:rPr>
          <w:rFonts w:ascii="Calibri" w:hAnsi="Calibri"/>
          <w:b w:val="0"/>
          <w:color w:val="3A4A28"/>
          <w:sz w:val="20"/>
        </w:rPr>
        <w:t>Deleveraging from 2.5x to ~2x adjusted leverage by year-end 2026 frees capital for increased buybacks and potentially accelerated dividend growth from the current 2.4% CAGR [1]</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above 40% as the higher-margin smoke-free business grows to majority of revenue, potentially driving EPS CAGR of 9-11% through 2028 at constant currency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nicotine regulation tightening — potential flavored product bans, nicotine caps, or plain packaging requirements — could impair both the legacy cigarette business and the smoke-free growth franchise simultaneously [4]</w:t>
      </w:r>
    </w:p>
    <w:p>
      <w:pPr>
        <w:spacing w:before="40" w:after="40"/>
        <w:ind w:left="283"/>
      </w:pPr>
      <w:r>
        <w:rPr>
          <w:rFonts w:ascii="Calibri" w:hAnsi="Calibri"/>
          <w:b/>
          <w:color w:val="4A6B25"/>
          <w:sz w:val="20"/>
        </w:rPr>
        <w:t xml:space="preserve">2. </w:t>
      </w:r>
      <w:r>
        <w:rPr>
          <w:rFonts w:ascii="Calibri" w:hAnsi="Calibri"/>
          <w:b w:val="0"/>
          <w:color w:val="3A4A28"/>
          <w:sz w:val="20"/>
        </w:rPr>
        <w:t>Payout ratio of 77.7% on a declining cigarette volume base constrains dividend growth to ~2.4% CAGR, well below inflation, unless smoke-free earnings growth accelerates faster than combustible declines [6]</w:t>
      </w:r>
    </w:p>
    <w:p>
      <w:pPr>
        <w:spacing w:before="40" w:after="40"/>
        <w:ind w:left="283"/>
      </w:pPr>
      <w:r>
        <w:rPr>
          <w:rFonts w:ascii="Calibri" w:hAnsi="Calibri"/>
          <w:b/>
          <w:color w:val="4A6B25"/>
          <w:sz w:val="20"/>
        </w:rPr>
        <w:t xml:space="preserve">3. </w:t>
      </w:r>
      <w:r>
        <w:rPr>
          <w:rFonts w:ascii="Calibri" w:hAnsi="Calibri"/>
          <w:b w:val="0"/>
          <w:color w:val="3A4A28"/>
          <w:sz w:val="20"/>
        </w:rPr>
        <w:t>ESG and ethical exclusion risk: many institutional investors maintain tobacco exclusion policies regardless of the smoke-free pivot, limiting the investor base and creating structural selling pressure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PMI's core business — manufacturing and distributing physical tobacco and nicotine products (cigarettes, IQOS heat sticks, ZYN pouches) — involves physical goods, regulated supply chains, and global distribution infrastructure that AI cannot substitute [2]. The company faces no analyst commentary suggesting AI threatens tobacco demand or product viability. However, AI could enhance competitors' direct-to-consumer capabilities and personalization, creating moderate indirect competitive pressure. AI Opportunity (0/1): PMI uses AI extensively internally (Forrester 2025 Enterprise Architecture Award, AI embedded across business units) but does not generate revenue from AI products or services sold to third parties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Philip Morris International Q4 and Full Year 2025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PMI company website — product portfolio, IQOS and ZYN market positioning,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(3.9/5, 3,444 reviews), Comparably executive ratings, and Forrester 2025 Enterprise Architecture Award for PMI AI strategy,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PMI sustainability strategy — 99% R&amp;D to smoke-free, smoke-free future mission,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Green Digest — 'Evaluating a company's impact: the case of Philip Morris,' and Free Beacon — 'How Tobacco Companies Are Crushing ESG Ratings,' 2023-2024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PM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