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PNFP</w:t>
      </w:r>
      <w:r>
        <w:rPr>
          <w:rFonts w:ascii="Calibri" w:hAnsi="Calibri"/>
          <w:b/>
          <w:color w:val="1A2010"/>
          <w:sz w:val="40"/>
        </w:rPr>
        <w:t xml:space="preserve">  Pinnacle Financial Partners, Inc.</w:t>
      </w:r>
    </w:p>
    <w:p>
      <w:pPr>
        <w:spacing w:after="120"/>
      </w:pPr>
      <w:r>
        <w:rPr>
          <w:rFonts w:ascii="Calibri" w:hAnsi="Calibri"/>
          <w:b/>
          <w:color w:val="6E8450"/>
          <w:sz w:val="18"/>
        </w:rPr>
        <w:t>GROWTH SLEEVE · 2026-04-22 · Inspire: 48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Pinnacle Financial Partners is a bank holding company operating through Pinnacle Bank, providing banking, wealth management, and advisory services primarily in the Southeastern United States. Following its 2026 merger with Synovus, the combined entity manages approximately $117 billion in assets, making it one of the largest regional banks in the Southeast.</w:t>
      </w:r>
    </w:p>
    <w:p>
      <w:r>
        <w:rPr>
          <w:rFonts w:ascii="Calibri" w:hAnsi="Calibri"/>
          <w:b/>
          <w:color w:val="6E8450"/>
          <w:sz w:val="18"/>
        </w:rPr>
        <w:t>3,709 Employees · https://www.pnfp.com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Pinnacle completed a transformative merger with Synovus in Q1 2026, creating a $117B-asset Southeast banking powerhouse — a defining strategic move that repositioned the company from a mid-size regional bank to a top-tier Southeast franchise [1]. Revenue grew 20.5% in 2025 to $1.95B, demonstrating strong organic momentum before the merger [2]. AI Deployment (1/2): Through the Synovus merger, Pinnacle inherited SynovusGPT, an internal generative AI tool built in August 2023 for employee productivity, and appointed Kevin Johnson as head of AI and automation for the combined bank [3]. Market Share (2/2): Pinnacle is a category leader in Southeast banking markets, particularly Nashville, and the Synovus combination creates a dominant regional presence across Georgia, Tennessee, and the Carolinas with significant commercial banking share gains [1]. Pipeline (0/2): No specific next-generation product announcements with defined timelines beyond integration milestones. R&amp;D Intensity (1/1): Pinnacle's investment in fintech through the gener8tor Pinnacle Atlanta Innovation Accelerator demonstrates above-average commitment to innovation for a regional bank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Pinnacle's purpose centers on distinctive service and relationship-driven banking, articulated as building a firm where the best bankers want to work and clients receive extraordinary service — specific, thoughtful, and clearly differentiated from commodity banking [4]. Community Impact (2/2): Pinnacle committed $1.7B to investments, lending, and grants for low-to-moderate-income housing, small business, and minority-owned institutions by end of 2022, with ongoing community development programs across the Southeast [5]. Employee Retention (2/2): Ranked No. 12 on Fortune's Best Companies to Work For list, with 97% of associates saying Pinnacle is a great place to work versus 57% at a typical US company — exceptional retention evidence for a financial institution [3]. Insider Buying (1/2): Neutral insider transaction activity; no significant net insider buying or selling patterns reported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Pinnacle's financial profile is exceptional for a regional bank. Forward P/E of 8.2x is deeply discounted versus the 20x target, reflecting post-merger integration uncertainty that creates value opportunity [6]. Profit margin of 33.0% is well above the 20% target, demonstrating efficient operations. Revenue grew 20.5% YoY in 2025 with a 5-year CAGR of approximately 14.9%, both exceeding the 10% target [2]. ROE of 9.5% is below the 15% target, reflecting the dilutive impact of the Synovus merger's equity issuance — expected to normalize above 12% as cost synergies are realized [1]. PEG ratio of 1.41 is reasonable for the growth profile. Liquidity floor easily cleared: 1.55M avg volume × $97.42 = $151M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Pinnacle Financial Partners exemplifies infinite game thinking in regional banking — building a culture-first institution where the best bankers want to work, then trusting those bankers to build deep client relationships. The Synovus merger was driven by strategic vision to create a Southeast banking champion rather than short-term earnings optimization, and the integration approach prioritizes cultural alignment over cost-cutting.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Pinnacle's purpose of creating the best place for bankers to work and clients to bank is genuinely distinctive and has been consistently validated since the company's founding in 2000. Strategic decisions — including the Synovus merger — clearly trace back to this cause. The purpose is specific enough to drive behavior but hasn't been tested across the kind of multi-decade crises that would earn full marks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Pinnacle is ranked No. 12 on Fortune's 100 Best Companies to Work For, with 97% of employees affirming it's a great place to work [3]. This is extraordinary for any company, let alone a bank. The culture of empowering relationship managers to operate as quasi-independent advisors with institutional backing creates the psychological safety Sinek describes. Leadership continuity through the Synovus merger was handled thoughtfully, with clear executive roles announced well before close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Pinnacle's merger with Synovus demonstrates an infinite competitive mindset — rather than viewing Synovus as a rival to defeat, Pinnacle recognized Synovus's strengths (AI capabilities, Georgia market depth, commercial banking expertise) and combined forces to create a stronger institution [1]. Management language focuses on building the best banking franchise in the Southeast, not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Synovus merger represents meaningful strategic evolution — transforming from a Nashville-centric $50B bank to a $117B Southeast champion [1]. This is significant but incremental rather than transformative; the core business model (relationship banking) remains the same. The merger was a strategic extension, not a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Synovus merger required significant courage — risking the tight-knit culture that made Pinnacle special by more than doubling in size. CEO Kevin Blair led the integration with a clear commitment to preserving the relationship-driven model rather than defaulting to cost-cutting integration playbooks [1]. Pinnacle's long-term investment in culture (resulting in consistent Fortune Best Places to Work recognition) over short-term efficiency gains demonstrates a pattern of choosing right over easy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Financial Partners is a high-conviction growth story in Southeast regional banking, trading at just 8.2x forward earnings following the transformative Synovus merger that created a $117B-asset institution [1]. The combined entity projects 10% loan growth for 2026, with Q1 2026 revenue expected to grow 148% YoY reflecting the first full quarter of combined operations [2]. Pre-merger organic performance was exceptional — 20.5% revenue growth in 2025 with 33% profit margins and 12.7% earnings growth. The culture advantage (Fortune #12 Best Company to Work For, 97% employee satisfaction) translates directly to banker retention and client relationship quality, creating a durable competitive moat in an industry where talent is the product [3]. At forward P/E of 8.2x versus regional bank peers at 10-12x, the market is pricing in integration risk that Pinnacle's track record suggests it will navigate successfully.</w:t>
      </w:r>
    </w:p>
    <w:p>
      <w:pPr>
        <w:spacing w:after="120"/>
      </w:pPr>
      <w:r>
        <w:rPr>
          <w:rFonts w:ascii="Calibri" w:hAnsi="Calibri"/>
          <w:b w:val="0"/>
          <w:color w:val="3A4A28"/>
          <w:sz w:val="20"/>
        </w:rPr>
        <w:t>The bear case centers on merger integration execution risk — combining two distinct banking cultures and technology platforms is inherently uncertain, and the scale of Synovus ($60B+ assets) makes this Pinnacle's most complex integration ever. ROE has compressed to 9.5% from the merger's equity dilution, and must recover toward 12%+ to justify the growth valuation [6]. Interest rate sensitivity is elevated for the combined entity, with net interest margin compression possible if the Fed cuts aggressively. The Southeast commercial real estate market, a significant loan exposure, faces headwinds from remote work trends and overbuilding in some metros. Revenue concentration in the Southeast means a regional economic downturn (hurricane damage, population growth slowdown) would disproportionately impact the franchise. Additionally, regulatory scrutiny increases with the larger asset base, potentially requiring higher compliance spending that pressures efficiency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release showing first full quarter of combined Synovus operations, with revenue expected to grow 148% YoY and providing initial evidence of integration progress [2]</w:t>
      </w:r>
    </w:p>
    <w:p>
      <w:pPr>
        <w:spacing w:before="40" w:after="40"/>
        <w:ind w:left="283"/>
      </w:pPr>
      <w:r>
        <w:rPr>
          <w:rFonts w:ascii="Calibri" w:hAnsi="Calibri"/>
          <w:b/>
          <w:color w:val="4A6B25"/>
          <w:sz w:val="20"/>
        </w:rPr>
        <w:t xml:space="preserve">2. </w:t>
      </w:r>
      <w:r>
        <w:rPr>
          <w:rFonts w:ascii="Calibri" w:hAnsi="Calibri"/>
          <w:b w:val="0"/>
          <w:color w:val="3A4A28"/>
          <w:sz w:val="20"/>
        </w:rPr>
        <w:t>Realization of $200M+ in estimated cost synergies from the Synovus merger over 2026-2027, expected to drive ROE recovery toward 12%+ and narrow the valuation discount to peers [1]</w:t>
      </w:r>
    </w:p>
    <w:p>
      <w:pPr>
        <w:spacing w:before="40" w:after="40"/>
        <w:ind w:left="283"/>
      </w:pPr>
      <w:r>
        <w:rPr>
          <w:rFonts w:ascii="Calibri" w:hAnsi="Calibri"/>
          <w:b/>
          <w:color w:val="4A6B25"/>
          <w:sz w:val="20"/>
        </w:rPr>
        <w:t xml:space="preserve">3. </w:t>
      </w:r>
      <w:r>
        <w:rPr>
          <w:rFonts w:ascii="Calibri" w:hAnsi="Calibri"/>
          <w:b w:val="0"/>
          <w:color w:val="3A4A28"/>
          <w:sz w:val="20"/>
        </w:rPr>
        <w:t>Scaling of AI and automation capabilities across the combined entity, leveraging SynovusGPT and dedicated AI team to drive operational efficiency gains and enhanced client service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execution risk — combining $117B in assets, two technology platforms, and distinct banking cultures could result in banker attrition, client loss, or higher-than-expected integration costs [1]</w:t>
      </w:r>
    </w:p>
    <w:p>
      <w:pPr>
        <w:spacing w:before="40" w:after="40"/>
        <w:ind w:left="283"/>
      </w:pPr>
      <w:r>
        <w:rPr>
          <w:rFonts w:ascii="Calibri" w:hAnsi="Calibri"/>
          <w:b/>
          <w:color w:val="4A6B25"/>
          <w:sz w:val="20"/>
        </w:rPr>
        <w:t xml:space="preserve">2. </w:t>
      </w:r>
      <w:r>
        <w:rPr>
          <w:rFonts w:ascii="Calibri" w:hAnsi="Calibri"/>
          <w:b w:val="0"/>
          <w:color w:val="3A4A28"/>
          <w:sz w:val="20"/>
        </w:rPr>
        <w:t>ROE dilution from Synovus equity issuance — current 9.5% ROE is below the cost of equity, and failure to achieve cost synergies would make the compression permanent [6]</w:t>
      </w:r>
    </w:p>
    <w:p>
      <w:pPr>
        <w:spacing w:before="40" w:after="40"/>
        <w:ind w:left="283"/>
      </w:pPr>
      <w:r>
        <w:rPr>
          <w:rFonts w:ascii="Calibri" w:hAnsi="Calibri"/>
          <w:b/>
          <w:color w:val="4A6B25"/>
          <w:sz w:val="20"/>
        </w:rPr>
        <w:t xml:space="preserve">3. </w:t>
      </w:r>
      <w:r>
        <w:rPr>
          <w:rFonts w:ascii="Calibri" w:hAnsi="Calibri"/>
          <w:b w:val="0"/>
          <w:color w:val="3A4A28"/>
          <w:sz w:val="20"/>
        </w:rPr>
        <w:t>Southeast commercial real estate concentration — significant CRE loan exposure in a region where office and retail vacancies are rising due to remote work trends and potential overbuilding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relationship-intensive, heavily regulated industry with high switching costs — core commercial lending and wealth management cannot be replaced by AI [1]. However, retail banking transaction processing and back-office operations face efficiency pressure from AI-driven fintech competitors. Pinnacle's relationship-first model, where trusted advisors manage complex commercial and wealth clients, provides meaningful protection against AI commoditization of basic banking services. The Southeast commercial banking franchise with deep client relationships represents a durable moat. AI Opportunity (1/1): The combined entity generates quantifiable AI-driven productivity through SynovusGPT, an internal generative AI tool deployed since August 2023, now being scaled across the combined bank under a dedicated AI and automation team led by Kevin Johnson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Financial Partners — Synovus merger completion announcement, Q1 2026; combined entity creates $117B asset bank</w:t>
      </w:r>
    </w:p>
    <w:p>
      <w:pPr>
        <w:spacing w:before="20" w:after="20"/>
        <w:ind w:left="170"/>
      </w:pPr>
      <w:r>
        <w:rPr>
          <w:rFonts w:ascii="Calibri" w:hAnsi="Calibri"/>
          <w:b/>
          <w:color w:val="4A6B25"/>
          <w:sz w:val="15"/>
        </w:rPr>
        <w:t xml:space="preserve">2. </w:t>
      </w:r>
      <w:r>
        <w:rPr>
          <w:rFonts w:ascii="Calibri" w:hAnsi="Calibri"/>
          <w:b w:val="0"/>
          <w:color w:val="3A4A28"/>
          <w:sz w:val="17"/>
        </w:rPr>
        <w:t>Pinnacle Financial Partners 2025 full-year revenue of $1.95B (20.5% growth); StockAnalysis.com financial data</w:t>
      </w:r>
    </w:p>
    <w:p>
      <w:pPr>
        <w:spacing w:before="20" w:after="20"/>
        <w:ind w:left="170"/>
      </w:pPr>
      <w:r>
        <w:rPr>
          <w:rFonts w:ascii="Calibri" w:hAnsi="Calibri"/>
          <w:b/>
          <w:color w:val="4A6B25"/>
          <w:sz w:val="15"/>
        </w:rPr>
        <w:t xml:space="preserve">3. </w:t>
      </w:r>
      <w:r>
        <w:rPr>
          <w:rFonts w:ascii="Calibri" w:hAnsi="Calibri"/>
          <w:b w:val="0"/>
          <w:color w:val="3A4A28"/>
          <w:sz w:val="17"/>
        </w:rPr>
        <w:t>Nashville Post — 'Meet the head of Pinnacle's new AI team', Kevin Johnson leading AI and automation; Fortune Best Companies to Work For #12 ranking</w:t>
      </w:r>
    </w:p>
    <w:p>
      <w:pPr>
        <w:spacing w:before="20" w:after="20"/>
        <w:ind w:left="170"/>
      </w:pPr>
      <w:r>
        <w:rPr>
          <w:rFonts w:ascii="Calibri" w:hAnsi="Calibri"/>
          <w:b/>
          <w:color w:val="4A6B25"/>
          <w:sz w:val="15"/>
        </w:rPr>
        <w:t xml:space="preserve">4. </w:t>
      </w:r>
      <w:r>
        <w:rPr>
          <w:rFonts w:ascii="Calibri" w:hAnsi="Calibri"/>
          <w:b w:val="0"/>
          <w:color w:val="3A4A28"/>
          <w:sz w:val="17"/>
        </w:rPr>
        <w:t>Pinnacle Financial Partners corporate website — mission, values, and relationship banking philosophy</w:t>
      </w:r>
    </w:p>
    <w:p>
      <w:pPr>
        <w:spacing w:before="20" w:after="20"/>
        <w:ind w:left="170"/>
      </w:pPr>
      <w:r>
        <w:rPr>
          <w:rFonts w:ascii="Calibri" w:hAnsi="Calibri"/>
          <w:b/>
          <w:color w:val="4A6B25"/>
          <w:sz w:val="15"/>
        </w:rPr>
        <w:t xml:space="preserve">5. </w:t>
      </w:r>
      <w:r>
        <w:rPr>
          <w:rFonts w:ascii="Calibri" w:hAnsi="Calibri"/>
          <w:b w:val="0"/>
          <w:color w:val="3A4A28"/>
          <w:sz w:val="17"/>
        </w:rPr>
        <w:t>Pinnacle Financial Partners 2022 Corporate Social Responsibility Report — $1.7B community investment commitment</w:t>
      </w:r>
    </w:p>
    <w:p>
      <w:pPr>
        <w:spacing w:before="20" w:after="20"/>
        <w:ind w:left="170"/>
      </w:pPr>
      <w:r>
        <w:rPr>
          <w:rFonts w:ascii="Calibri" w:hAnsi="Calibri"/>
          <w:b/>
          <w:color w:val="4A6B25"/>
          <w:sz w:val="15"/>
        </w:rPr>
        <w:t xml:space="preserve">6. </w:t>
      </w:r>
      <w:r>
        <w:rPr>
          <w:rFonts w:ascii="Calibri" w:hAnsi="Calibri"/>
          <w:b w:val="0"/>
          <w:color w:val="3A4A28"/>
          <w:sz w:val="17"/>
        </w:rPr>
        <w:t>Yahoo Finance — PNFP key statistics, forward P/E 8.22, ROE 9.53%, profit margin 32.96%,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