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PNW</w:t>
      </w:r>
      <w:r>
        <w:rPr>
          <w:rFonts w:ascii="Calibri" w:hAnsi="Calibri"/>
          <w:b/>
          <w:color w:val="1A2010"/>
          <w:sz w:val="40"/>
        </w:rPr>
        <w:t xml:space="preserve">  Pinnacle West Capital Corporation</w:t>
      </w:r>
    </w:p>
    <w:p>
      <w:pPr>
        <w:spacing w:after="120"/>
      </w:pPr>
      <w:r>
        <w:rPr>
          <w:rFonts w:ascii="Calibri" w:hAnsi="Calibri"/>
          <w:b/>
          <w:color w:val="6E8450"/>
          <w:sz w:val="18"/>
        </w:rPr>
        <w:t>DIVIDEND SLEEVE · 2026-04-29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Pinnacle West Capital Corporation, through its subsidiary Arizona Public Service Company (APS), provides retail and wholesale electric services in Arizona. The company generates, transmits, and distributes electricity using nuclear, natural gas, oil, coal, and solar facilities, serving approximately 1.4 million customers in one of the fastest-growing service territories in the United States.</w:t>
      </w:r>
    </w:p>
    <w:p>
      <w:r>
        <w:rPr>
          <w:rFonts w:ascii="Calibri" w:hAnsi="Calibri"/>
          <w:b/>
          <w:color w:val="6E8450"/>
          <w:sz w:val="18"/>
        </w:rPr>
        <w:t>6,610 Employees · https://www.pinnaclewest.com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PNW demonstrates moderate innovation for a regulated utility. (1) Innovation Track Record: 1 pt — APS has invested in grid modernization and clean energy transitions, including expanding solar and battery storage capacity and operating the Palo Verde Nuclear Generating Station (the nation's largest nuclear plant), but these are evolutionary rather than transformative moves within the regulated utility model [1]. (2) AI Deployment: 1 pt — the company has embraced AI for grid management, customer service, and operational optimization; leadership explicitly stated AI will 'sharpen decisions and find new opportunities to deliver better service at lower costs,' though quantified AI-driven savings have not been publicly reported [2]. (3) Market Share Leadership: 1 pt — APS is the dominant electric utility in Arizona, serving ~1.4M customers in one of the fastest-growing U.S. states, though this is a regulated monopoly position rather than competitively earned market share [1]. (4) Product Pipeline: 1 pt — APS has proposed thousands of megawatts of new generation capacity in its Integrated Resource Plan to meet growing Arizona demand, including data center load, with specific timeline visibility [1]. (5) R&amp;D Intensity: 0 pts — R&amp;D spending is minimal relative to revenue, typical for regulated utilities that invest in infrastructure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Quality Floor: 2 pts — Pinnacle West articulates its purpose around powering Arizona's growth and delivering clean, reliable, and affordable energy to customers, a clear and specific mission for the region it serves but not distinctive enough to inspire beyond operational execution [3]. Community &amp; Charitable Impact: 1 pt — APS runs community programs including the APS Foundation which supports education, workforce development, and community needs in Arizona; the company has an established corporate responsibility program, though specific dollar amounts and distinctive impact are not highlighted in available data [3]. Employee Retention &amp; Tenure: 1 pt — Glassdoor ratings show APS at 4.1/5 stars based on 481 reviews, with 82% recommending the employer, 4.1 for culture and values, and positive comments about cultural improvement under recent leadership [4]. New CEO Ted Geisler's 23-year career at APS demonstrates internal talent development and institutional commitment. Insider Buying: 0 pts — no evidence of meaningful net insider buying by executives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PNW's financial profile reflects a well-managed regulated utility with predictable earnings and strong dividend history. D/E of 201.8% is elevated but standard for capital-intensive utilities that use regulated asset base financing [5]. ROE of 9.1% is below the 15% target but typical for regulated utilities where returns are capped by rate cases. Revenue grew 3% YoY to $5.34B with a 3-year CAGR of ~7.3%, driven by strong Arizona population growth and data center demand [1]. Forward P/E of 18.5 is reasonable for a utility. Profit margin of 11.5% is moderate. The dividend has been paid consecutively for 38 years with steady annual increases, though the 5-year dividend growth CAGR of ~1.9% barely exceeds inflation [5]. Payout ratio of 71.2% is sustainable but leaves limited room for larger dividend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Pinnacle West demonstrates several infinite game characteristics inherent to regulated utilities: the business is built for multi-decade time horizons, infrastructure investments span 30-50 year useful lives, and the dividend has been paid for 38 consecutive years. CEO Ted Geisler's 23-year career at APS exemplifies institutional continuity. However, the company has faced criticism for lacking ambitious decarbonization goals relative to peers, and the recent controversy over misleading Paris Agreement claims suggests some finite-game behavior around ESG metrics. The regulated monopoly structure both enables long-term thinking and reduces the competitive pressure that drives infinite game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Pinnacle West's purpose of powering Arizona's growth with clean, reliable, affordable energy is genuine and connects the company's work to community benefit. However, this is a functional description of what any regulated utility does rather than a Just Cause that inspires sacrifice. The purpose does not articulate a vision of a future state that does not yet exist — it describes the ongoing delivery of an essential service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APS's Glassdoor rating of 4.1/5 with 82% recommendation rate and positive comments about cultural improvement under recent leadership suggest adequate organizational trust [4]. CEO Geisler's 23-year internal career demonstrates that people build careers at APS, and the internal succession from Guldner to Geisler shows institutional continuity. However, the 6,610-person workforce shows no standout evidence of exceptional trust or empowerment beyond industry norms for regulated utilities.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 pt — Pinnacle West acknowledges competitive dynamics through its participation in industry groups and benchmarking against peer utilities on reliability, safety, and clean energy metrics. The company's Integrated Resource Plan process inherently involves comparing its approach to peers and responding to stakeholder criticism — including the ESG controversy around Paris Agreement claims — which demonstrates some willingness to engage with external pressure for improvement [6].</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 pts — Pinnacle West has operated the same fundamental business model — regulated electric generation, transmission, and distribution in Arizona — for over 40 years. The company has not made a transformative strategic pivot. While it has evolved its generation mix (adding solar, maintaining nuclear, proposing new gas), this is incremental adaptation within the same regulated utility framework. The criticism that APS has not established decarbonization goals for 2030, unlike most peer utilities, suggests rigidity in adapting to the energy transition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Pinnacle West has maintained investment in the Palo Verde Nuclear Generating Station (the nation's largest) through periods when nuclear power was politically unpopular, demonstrating commitment to carbon-free baseload generation [1]. The company has also invested in grid modernization and battery storage despite the near-term cost pressure on regulated returns. However, the lack of 2030 decarbonization targets and the proposed expansion of natural gas generation suggest management is prioritizing near-term reliability and cost over long-term clean energy leadership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West offers a stable 3.5% dividend yield backed by 38 consecutive years of payment, a regulated monopoly in one of America's fastest-growing states, and a multi-year demand tailwind from AI data center buildout. Management guides for 5-7% sales growth through 2030 and 4-6% EPS growth, with Forward P/E of 18.5x and reaffirmed 2026 guidance of $4.55-$4.75 EPS [1][5]. Arizona's population growth, low electricity costs, and favorable climate for data centers position APS as a prime beneficiary of the electrification and AI infrastructure megatrends. The low beta of 0.48 provides portfolio stability.</w:t>
      </w:r>
    </w:p>
    <w:p>
      <w:pPr>
        <w:spacing w:after="120"/>
      </w:pPr>
      <w:r>
        <w:rPr>
          <w:rFonts w:ascii="Calibri" w:hAnsi="Calibri"/>
          <w:b w:val="0"/>
          <w:color w:val="3A4A28"/>
          <w:sz w:val="20"/>
        </w:rPr>
        <w:t>The bear case focuses on regulatory and execution risk. 2026 EPS guidance of $4.55-$4.75 represents a 6.9% decline from 2025's $5.05, suggesting near-term headwinds from rate case timing and infrastructure investment costs [1]. D/E of 202% reflects $14.3B in total debt, and the company generates negative free cash flow (-$602M) as capital expenditures on grid expansion consistently exceed operating cash flow [5]. The dividend growth rate of ~1.9% barely keeps pace with inflation, offering limited real income growth. The ESG controversy over misleading Paris Agreement claims and the lack of 2030 decarbonization targets could alienate ESG-focused institutional investors [6]. Payout ratio of 71% leaves limited flexibility if earnings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accelerated load growth in Arizona, potentially pushing sales growth above management's 5-7% guidance range through 2030</w:t>
      </w:r>
    </w:p>
    <w:p>
      <w:pPr>
        <w:spacing w:before="40" w:after="40"/>
        <w:ind w:left="283"/>
      </w:pPr>
      <w:r>
        <w:rPr>
          <w:rFonts w:ascii="Calibri" w:hAnsi="Calibri"/>
          <w:b/>
          <w:color w:val="4A6B25"/>
          <w:sz w:val="20"/>
        </w:rPr>
        <w:t xml:space="preserve">2. </w:t>
      </w:r>
      <w:r>
        <w:rPr>
          <w:rFonts w:ascii="Calibri" w:hAnsi="Calibri"/>
          <w:b w:val="0"/>
          <w:color w:val="3A4A28"/>
          <w:sz w:val="20"/>
        </w:rPr>
        <w:t>Favorable rate case outcomes from the Arizona Corporation Commission supporting recovery of grid modernization and generation investment costs</w:t>
      </w:r>
    </w:p>
    <w:p>
      <w:pPr>
        <w:spacing w:before="40" w:after="40"/>
        <w:ind w:left="283"/>
      </w:pPr>
      <w:r>
        <w:rPr>
          <w:rFonts w:ascii="Calibri" w:hAnsi="Calibri"/>
          <w:b/>
          <w:color w:val="4A6B25"/>
          <w:sz w:val="20"/>
        </w:rPr>
        <w:t xml:space="preserve">3. </w:t>
      </w:r>
      <w:r>
        <w:rPr>
          <w:rFonts w:ascii="Calibri" w:hAnsi="Calibri"/>
          <w:b w:val="0"/>
          <w:color w:val="3A4A28"/>
          <w:sz w:val="20"/>
        </w:rPr>
        <w:t>Nuclear power renaissance benefiting Palo Verde — the nation's largest carbon-free power plant — as policymakers prioritize clean baseload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from the Arizona Corporation Commission denying or delaying rate increases needed to recover $14.3B in infrastructure investment costs</w:t>
      </w:r>
    </w:p>
    <w:p>
      <w:pPr>
        <w:spacing w:before="40" w:after="40"/>
        <w:ind w:left="283"/>
      </w:pPr>
      <w:r>
        <w:rPr>
          <w:rFonts w:ascii="Calibri" w:hAnsi="Calibri"/>
          <w:b/>
          <w:color w:val="4A6B25"/>
          <w:sz w:val="20"/>
        </w:rPr>
        <w:t xml:space="preserve">2. </w:t>
      </w:r>
      <w:r>
        <w:rPr>
          <w:rFonts w:ascii="Calibri" w:hAnsi="Calibri"/>
          <w:b w:val="0"/>
          <w:color w:val="3A4A28"/>
          <w:sz w:val="20"/>
        </w:rPr>
        <w:t>Data center demand failing to materialize at projected levels, creating stranded asset risk on generation capacity built to serve expected AI-driven load growth</w:t>
      </w:r>
    </w:p>
    <w:p>
      <w:pPr>
        <w:spacing w:before="40" w:after="40"/>
        <w:ind w:left="283"/>
      </w:pPr>
      <w:r>
        <w:rPr>
          <w:rFonts w:ascii="Calibri" w:hAnsi="Calibri"/>
          <w:b/>
          <w:color w:val="4A6B25"/>
          <w:sz w:val="20"/>
        </w:rPr>
        <w:t xml:space="preserve">3. </w:t>
      </w:r>
      <w:r>
        <w:rPr>
          <w:rFonts w:ascii="Calibri" w:hAnsi="Calibri"/>
          <w:b w:val="0"/>
          <w:color w:val="3A4A28"/>
          <w:sz w:val="20"/>
        </w:rPr>
        <w:t>Water scarcity in Arizona constraining future generation capacity expansion and increasing cooling costs for existing thermal and nuclear plants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 pts (IMMUNE) — Pinnacle West/APS operates essential physical infrastructure — power plants, transmission lines, distribution networks, and substations — that AI structurally cannot displace [1]. Regulated electric utilities are the ultimate AI beneficiary: AI data centers are the fastest-growing source of electricity demand, and APS's Arizona service territory is a prime location for data center development due to available land, grid capacity, and favorable climate [1][2]. Management has guided for 5-7% sales growth through 2030, driven partly by data center load additions. The regulated monopoly structure provides additional protection — customers cannot switch providers, and rate cases ensure cost recovery. No analysts have flagged AI disruption as a risk; the consensus is that AI is a strong tailwind for utilities. AI Opportunity: 0 pts — PNW does not generate revenue from AI products or services; it is a consumer of AI for internal operational efficiency rather than a provider of AI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West Capital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Pinnacle West / APS AI and Digital Transformation Strategy, leadership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Pinnacle West Capital corporate website — pinnaclewest.com, mission and corporate responsibility,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Arizona Public Service Company employee reviews (481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PNW key statistics and dividend history,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Energy and Policy Institute — Pinnacle West ESG and Paris Agreement claims analysis,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